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EB07" w14:textId="72605F72" w:rsidR="00136491" w:rsidRPr="00136491" w:rsidRDefault="00136491" w:rsidP="0013649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19512226"/>
      <w:r>
        <w:rPr>
          <w:noProof/>
          <w:sz w:val="20"/>
        </w:rPr>
        <w:drawing>
          <wp:inline distT="0" distB="0" distL="0" distR="0" wp14:anchorId="5CFC7601" wp14:editId="0EE0B7E4">
            <wp:extent cx="6052360" cy="1149468"/>
            <wp:effectExtent l="0" t="0" r="5715" b="0"/>
            <wp:docPr id="1" name="image1.jpeg" descr="cid:E0909862-EE15-440B-9975-D6FC6CD9EECB@hom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70" cy="11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491">
        <w:t xml:space="preserve"> </w:t>
      </w:r>
      <w:r w:rsidRPr="00136491">
        <w:rPr>
          <w:rFonts w:ascii="Arial" w:hAnsi="Arial" w:cs="Arial"/>
          <w:b/>
          <w:bCs/>
          <w:sz w:val="22"/>
          <w:szCs w:val="22"/>
        </w:rPr>
        <w:t xml:space="preserve"> </w:t>
      </w:r>
      <w:r w:rsidR="00F71ADE">
        <w:rPr>
          <w:rFonts w:ascii="Arial" w:hAnsi="Arial" w:cs="Arial"/>
          <w:b/>
          <w:bCs/>
          <w:sz w:val="22"/>
          <w:szCs w:val="22"/>
        </w:rPr>
        <w:t>Minutes</w:t>
      </w:r>
    </w:p>
    <w:p w14:paraId="40AA93E2" w14:textId="441A0632" w:rsidR="00986804" w:rsidRDefault="00136491" w:rsidP="0098680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6491">
        <w:rPr>
          <w:rFonts w:ascii="Arial" w:hAnsi="Arial" w:cs="Arial"/>
          <w:b/>
          <w:bCs/>
          <w:sz w:val="22"/>
          <w:szCs w:val="22"/>
        </w:rPr>
        <w:t>Financial and Statistical Data Comparability Committee &amp; WCB CFO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14:paraId="1BBB674D" w14:textId="47543481" w:rsidR="000E4975" w:rsidRPr="00255629" w:rsidRDefault="00986804" w:rsidP="00136491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January 20</w:t>
      </w:r>
      <w:r w:rsidR="000E4975" w:rsidRPr="00255629">
        <w:rPr>
          <w:rFonts w:ascii="Arial" w:hAnsi="Arial" w:cs="Arial"/>
          <w:b/>
          <w:sz w:val="22"/>
          <w:szCs w:val="22"/>
          <w:lang w:val="en-CA"/>
        </w:rPr>
        <w:t>, 202</w:t>
      </w:r>
      <w:r>
        <w:rPr>
          <w:rFonts w:ascii="Arial" w:hAnsi="Arial" w:cs="Arial"/>
          <w:b/>
          <w:sz w:val="22"/>
          <w:szCs w:val="22"/>
          <w:lang w:val="en-CA"/>
        </w:rPr>
        <w:t>3</w:t>
      </w:r>
      <w:r w:rsidR="00136491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E90FDF">
        <w:rPr>
          <w:rFonts w:ascii="Arial" w:hAnsi="Arial" w:cs="Arial"/>
          <w:b/>
          <w:sz w:val="22"/>
          <w:szCs w:val="22"/>
          <w:lang w:val="en-CA"/>
        </w:rPr>
        <w:t>(</w:t>
      </w:r>
      <w:r>
        <w:rPr>
          <w:rFonts w:ascii="Arial" w:hAnsi="Arial" w:cs="Arial"/>
          <w:b/>
          <w:sz w:val="22"/>
          <w:szCs w:val="22"/>
          <w:lang w:val="en-CA"/>
        </w:rPr>
        <w:t>3</w:t>
      </w:r>
      <w:r w:rsidR="00E90FDF">
        <w:rPr>
          <w:rFonts w:ascii="Arial" w:hAnsi="Arial" w:cs="Arial"/>
          <w:b/>
          <w:sz w:val="22"/>
          <w:szCs w:val="22"/>
          <w:lang w:val="en-CA"/>
        </w:rPr>
        <w:t xml:space="preserve"> pm</w:t>
      </w:r>
      <w:r w:rsidR="00E90FDF" w:rsidRPr="00255629">
        <w:rPr>
          <w:rFonts w:ascii="Arial" w:hAnsi="Arial" w:cs="Arial"/>
          <w:b/>
          <w:sz w:val="22"/>
          <w:szCs w:val="22"/>
          <w:lang w:val="en-CA"/>
        </w:rPr>
        <w:t xml:space="preserve"> – </w:t>
      </w:r>
      <w:r>
        <w:rPr>
          <w:rFonts w:ascii="Arial" w:hAnsi="Arial" w:cs="Arial"/>
          <w:b/>
          <w:sz w:val="22"/>
          <w:szCs w:val="22"/>
          <w:lang w:val="en-CA"/>
        </w:rPr>
        <w:t>4:30</w:t>
      </w:r>
      <w:r w:rsidR="00E90FDF">
        <w:rPr>
          <w:rFonts w:ascii="Arial" w:hAnsi="Arial" w:cs="Arial"/>
          <w:b/>
          <w:sz w:val="22"/>
          <w:szCs w:val="22"/>
          <w:lang w:val="en-CA"/>
        </w:rPr>
        <w:t xml:space="preserve"> pm</w:t>
      </w:r>
      <w:r w:rsidR="00575338">
        <w:rPr>
          <w:rFonts w:ascii="Arial" w:hAnsi="Arial" w:cs="Arial"/>
          <w:b/>
          <w:sz w:val="22"/>
          <w:szCs w:val="22"/>
          <w:lang w:val="en-CA"/>
        </w:rPr>
        <w:t xml:space="preserve"> AST</w:t>
      </w:r>
      <w:r w:rsidR="00E90FDF">
        <w:rPr>
          <w:rFonts w:ascii="Arial" w:hAnsi="Arial" w:cs="Arial"/>
          <w:b/>
          <w:sz w:val="22"/>
          <w:szCs w:val="22"/>
          <w:lang w:val="en-CA"/>
        </w:rPr>
        <w:t>)</w:t>
      </w:r>
    </w:p>
    <w:p w14:paraId="49053AFC" w14:textId="5E12C36B" w:rsidR="001A3BC5" w:rsidRPr="00136491" w:rsidRDefault="00E90FDF" w:rsidP="00136491">
      <w:pPr>
        <w:rPr>
          <w:rFonts w:ascii="Segoe UI" w:hAnsi="Segoe UI" w:cs="Segoe UI"/>
          <w:color w:val="252424"/>
          <w:sz w:val="22"/>
        </w:rPr>
      </w:pPr>
      <w:r>
        <w:rPr>
          <w:rFonts w:ascii="Segoe UI" w:hAnsi="Segoe UI" w:cs="Segoe UI"/>
          <w:color w:val="252424"/>
          <w:sz w:val="36"/>
          <w:szCs w:val="36"/>
        </w:rPr>
        <w:t xml:space="preserve">                      </w:t>
      </w:r>
      <w:hyperlink r:id="rId8" w:history="1">
        <w:r w:rsidR="001A3BC5" w:rsidRPr="00E90FDF">
          <w:rPr>
            <w:rStyle w:val="Hyperlink"/>
            <w:rFonts w:ascii="Segoe UI" w:hAnsi="Segoe UI" w:cs="Segoe UI"/>
            <w:sz w:val="36"/>
            <w:szCs w:val="36"/>
          </w:rPr>
          <w:t xml:space="preserve">Virtual </w:t>
        </w:r>
        <w:r w:rsidR="00136491">
          <w:rPr>
            <w:rStyle w:val="Hyperlink"/>
            <w:rFonts w:ascii="Segoe UI" w:hAnsi="Segoe UI" w:cs="Segoe UI"/>
            <w:sz w:val="36"/>
            <w:szCs w:val="36"/>
          </w:rPr>
          <w:t>M</w:t>
        </w:r>
        <w:r w:rsidRPr="00E90FDF">
          <w:rPr>
            <w:rStyle w:val="Hyperlink"/>
            <w:rFonts w:ascii="Segoe UI" w:hAnsi="Segoe UI" w:cs="Segoe UI"/>
            <w:sz w:val="36"/>
            <w:szCs w:val="36"/>
          </w:rPr>
          <w:t>eeting (</w:t>
        </w:r>
        <w:r w:rsidR="001A3BC5" w:rsidRPr="00E90FDF">
          <w:rPr>
            <w:rStyle w:val="Hyperlink"/>
            <w:rFonts w:ascii="Segoe UI" w:hAnsi="Segoe UI" w:cs="Segoe UI"/>
            <w:sz w:val="36"/>
            <w:szCs w:val="36"/>
          </w:rPr>
          <w:t>Microsoft Teams)</w:t>
        </w:r>
      </w:hyperlink>
    </w:p>
    <w:bookmarkEnd w:id="0"/>
    <w:p w14:paraId="1C93C3F1" w14:textId="6BD0A64D" w:rsidR="00A36BA9" w:rsidRDefault="00A36BA9" w:rsidP="001A3BC5">
      <w:pPr>
        <w:ind w:left="3600"/>
        <w:rPr>
          <w:rFonts w:ascii="Segoe UI" w:hAnsi="Segoe UI" w:cs="Segoe UI"/>
          <w:color w:val="252424"/>
        </w:rPr>
      </w:pPr>
    </w:p>
    <w:p w14:paraId="3E88C931" w14:textId="04E6E389" w:rsidR="00A36BA9" w:rsidRDefault="00A36BA9" w:rsidP="00A36BA9">
      <w:pPr>
        <w:rPr>
          <w:rFonts w:ascii="Segoe UI" w:hAnsi="Segoe UI" w:cs="Segoe UI"/>
          <w:color w:val="252424"/>
        </w:rPr>
      </w:pPr>
      <w:r w:rsidRPr="00A36BA9">
        <w:rPr>
          <w:b/>
          <w:bCs/>
        </w:rPr>
        <w:t>Attendees:</w:t>
      </w:r>
      <w:r>
        <w:t xml:space="preserve"> </w:t>
      </w:r>
      <w:r w:rsidR="00986804">
        <w:t>Various members and invited guests</w:t>
      </w:r>
      <w:r>
        <w:t>.</w:t>
      </w:r>
    </w:p>
    <w:p w14:paraId="7A72A6F1" w14:textId="77777777" w:rsidR="00A36BA9" w:rsidRDefault="00A36BA9" w:rsidP="00F71ADE">
      <w:pPr>
        <w:jc w:val="both"/>
        <w:rPr>
          <w:b/>
          <w:bCs/>
        </w:rPr>
      </w:pPr>
    </w:p>
    <w:p w14:paraId="66CAF4EA" w14:textId="77777777" w:rsidR="00A36BA9" w:rsidRDefault="00A36BA9" w:rsidP="00F71ADE">
      <w:pPr>
        <w:jc w:val="both"/>
        <w:rPr>
          <w:b/>
          <w:bCs/>
        </w:rPr>
      </w:pPr>
    </w:p>
    <w:p w14:paraId="5F88AA4D" w14:textId="0DD2351F" w:rsidR="00F71ADE" w:rsidRPr="00F71ADE" w:rsidRDefault="00F71ADE" w:rsidP="00F71ADE">
      <w:pPr>
        <w:jc w:val="both"/>
        <w:rPr>
          <w:rFonts w:ascii="Segoe UI" w:hAnsi="Segoe UI" w:cs="Segoe UI"/>
          <w:b/>
          <w:bCs/>
          <w:color w:val="252424"/>
        </w:rPr>
      </w:pPr>
      <w:r w:rsidRPr="00F71ADE">
        <w:rPr>
          <w:b/>
          <w:bCs/>
        </w:rPr>
        <w:t>Welcome, Introductions</w:t>
      </w:r>
    </w:p>
    <w:p w14:paraId="04124108" w14:textId="18FA34CD" w:rsidR="00F71ADE" w:rsidRDefault="00F71ADE" w:rsidP="00F71ADE"/>
    <w:p w14:paraId="3CF6AACD" w14:textId="5944F7B9" w:rsidR="00F71ADE" w:rsidRPr="00CA2B9B" w:rsidRDefault="00F71ADE" w:rsidP="00CA2B9B">
      <w:pPr>
        <w:pStyle w:val="ListParagraph"/>
        <w:numPr>
          <w:ilvl w:val="0"/>
          <w:numId w:val="5"/>
        </w:numPr>
      </w:pPr>
      <w:r w:rsidRPr="00CA2B9B">
        <w:t xml:space="preserve">Brief introduction of attendees. Attendees from all </w:t>
      </w:r>
      <w:proofErr w:type="gramStart"/>
      <w:r w:rsidRPr="00CA2B9B">
        <w:t>jurisdictions</w:t>
      </w:r>
      <w:proofErr w:type="gramEnd"/>
      <w:r w:rsidRPr="00CA2B9B">
        <w:t xml:space="preserve"> “WCBs”</w:t>
      </w:r>
      <w:r w:rsidR="00986804">
        <w:t xml:space="preserve"> except Ontario. Carolyn </w:t>
      </w:r>
      <w:r w:rsidR="00C30F01">
        <w:t xml:space="preserve">MacDonald </w:t>
      </w:r>
      <w:r w:rsidR="002A5620">
        <w:t>attended</w:t>
      </w:r>
      <w:r w:rsidR="00C30F01">
        <w:t xml:space="preserve"> as acting </w:t>
      </w:r>
      <w:r w:rsidR="002A5620">
        <w:t xml:space="preserve">role </w:t>
      </w:r>
      <w:r w:rsidR="00C30F01">
        <w:t>in New Brunswick</w:t>
      </w:r>
      <w:r w:rsidR="002A5620">
        <w:t xml:space="preserve"> with pending retirement of Perry Cheeks</w:t>
      </w:r>
      <w:proofErr w:type="gramStart"/>
      <w:r w:rsidR="002A5620">
        <w:t xml:space="preserve">.  </w:t>
      </w:r>
      <w:proofErr w:type="gramEnd"/>
      <w:r w:rsidR="002A5620">
        <w:t xml:space="preserve">Anne St – Martin shared that she is retiring in 2023. Invited guests, including co chairs of </w:t>
      </w:r>
      <w:r w:rsidR="00FB6858">
        <w:t xml:space="preserve">the </w:t>
      </w:r>
      <w:r w:rsidR="002A5620">
        <w:t>AWCBC communications group – Steve MacDonald (NS) and Rebecca (AB).</w:t>
      </w:r>
    </w:p>
    <w:p w14:paraId="06E6AAA4" w14:textId="77777777" w:rsidR="00F71ADE" w:rsidRDefault="00F71ADE" w:rsidP="00F71ADE">
      <w:pPr>
        <w:pStyle w:val="ListParagraph"/>
        <w:rPr>
          <w:rFonts w:eastAsia="Times New Roman"/>
        </w:rPr>
      </w:pPr>
    </w:p>
    <w:p w14:paraId="2B8ACAEF" w14:textId="6629B261" w:rsidR="00371BE7" w:rsidRPr="00371BE7" w:rsidRDefault="00371BE7" w:rsidP="00371BE7">
      <w:pPr>
        <w:rPr>
          <w:b/>
          <w:bCs/>
        </w:rPr>
      </w:pPr>
      <w:r w:rsidRPr="00371BE7">
        <w:rPr>
          <w:b/>
          <w:bCs/>
        </w:rPr>
        <w:t>IFRS 17</w:t>
      </w:r>
      <w:r w:rsidR="00D15C87">
        <w:rPr>
          <w:b/>
          <w:bCs/>
        </w:rPr>
        <w:t xml:space="preserve"> – Communications </w:t>
      </w:r>
      <w:r w:rsidRPr="00371BE7">
        <w:rPr>
          <w:b/>
          <w:bCs/>
        </w:rPr>
        <w:t>Update</w:t>
      </w:r>
    </w:p>
    <w:p w14:paraId="0DBE1A63" w14:textId="21D71CD7" w:rsidR="00371BE7" w:rsidRDefault="00371BE7" w:rsidP="00371BE7"/>
    <w:p w14:paraId="7859D99A" w14:textId="200EB0C2" w:rsidR="004050C4" w:rsidRDefault="004050C4" w:rsidP="00D15C87">
      <w:pPr>
        <w:pStyle w:val="ListParagraph"/>
        <w:numPr>
          <w:ilvl w:val="0"/>
          <w:numId w:val="6"/>
        </w:numPr>
      </w:pPr>
      <w:r>
        <w:t xml:space="preserve">Crystal shared that a SharePoint site had been set up for </w:t>
      </w:r>
      <w:r w:rsidR="00F0146E">
        <w:t xml:space="preserve">IFRS 17 </w:t>
      </w:r>
      <w:r>
        <w:t>communications materials to be included and could be accessed by members of th</w:t>
      </w:r>
      <w:r w:rsidR="00F0146E">
        <w:t>e</w:t>
      </w:r>
      <w:r>
        <w:t xml:space="preserve"> group</w:t>
      </w:r>
      <w:proofErr w:type="gramStart"/>
      <w:r>
        <w:t xml:space="preserve">.  </w:t>
      </w:r>
      <w:proofErr w:type="gramEnd"/>
      <w:r>
        <w:t xml:space="preserve">Other members can share presentations to the site. </w:t>
      </w:r>
    </w:p>
    <w:p w14:paraId="4BB30F54" w14:textId="77777777" w:rsidR="00F0146E" w:rsidRDefault="00F0146E" w:rsidP="00F0146E">
      <w:pPr>
        <w:pStyle w:val="ListParagraph"/>
      </w:pPr>
    </w:p>
    <w:p w14:paraId="5610298F" w14:textId="2343BAAC" w:rsidR="00D15C87" w:rsidRDefault="00D15C87" w:rsidP="00D15C87">
      <w:pPr>
        <w:pStyle w:val="ListParagraph"/>
        <w:numPr>
          <w:ilvl w:val="0"/>
          <w:numId w:val="6"/>
        </w:numPr>
      </w:pPr>
      <w:r>
        <w:t xml:space="preserve">Crystal introduced Saskatchewan team members (Al, </w:t>
      </w:r>
      <w:r w:rsidR="00FB6858">
        <w:t>Thomas</w:t>
      </w:r>
      <w:r>
        <w:t xml:space="preserve"> and Ty)</w:t>
      </w:r>
      <w:r w:rsidR="00FB6858">
        <w:t xml:space="preserve">, </w:t>
      </w:r>
      <w:r>
        <w:t xml:space="preserve">who shared a presentation that they prepared for their Board of Directors.  The presentation provided a mix of general WCB liabilities and assets components, </w:t>
      </w:r>
      <w:r w:rsidR="00F0146E">
        <w:t>IFRS, and</w:t>
      </w:r>
      <w:r>
        <w:t xml:space="preserve"> IFRS 17 specific considerations.  General discussion followed</w:t>
      </w:r>
      <w:proofErr w:type="gramStart"/>
      <w:r>
        <w:t xml:space="preserve">.  </w:t>
      </w:r>
      <w:proofErr w:type="gramEnd"/>
      <w:r>
        <w:t>Key take aways captured:</w:t>
      </w:r>
    </w:p>
    <w:p w14:paraId="41C5A3C7" w14:textId="77777777" w:rsidR="00F0146E" w:rsidRDefault="00F0146E" w:rsidP="00F0146E">
      <w:pPr>
        <w:pStyle w:val="ListParagraph"/>
      </w:pPr>
    </w:p>
    <w:p w14:paraId="205BC26A" w14:textId="1D284EC0" w:rsidR="00D15C87" w:rsidRDefault="00D15C87" w:rsidP="00D15C87">
      <w:pPr>
        <w:pStyle w:val="ListParagraph"/>
        <w:numPr>
          <w:ilvl w:val="0"/>
          <w:numId w:val="8"/>
        </w:numPr>
      </w:pPr>
      <w:r>
        <w:t xml:space="preserve">Know and tailor </w:t>
      </w:r>
      <w:r w:rsidR="004050C4">
        <w:t xml:space="preserve">communications </w:t>
      </w:r>
      <w:r>
        <w:t>to your audience. (</w:t>
      </w:r>
      <w:r w:rsidR="005136F0">
        <w:t xml:space="preserve">Finance / Actuary Staff; Executive; BOD; External </w:t>
      </w:r>
      <w:r w:rsidR="004050C4">
        <w:t>audiences</w:t>
      </w:r>
      <w:r w:rsidR="005136F0">
        <w:t>).</w:t>
      </w:r>
    </w:p>
    <w:p w14:paraId="3A495FC9" w14:textId="785D22BC" w:rsidR="005136F0" w:rsidRDefault="005136F0" w:rsidP="00D15C87">
      <w:pPr>
        <w:pStyle w:val="ListParagraph"/>
        <w:numPr>
          <w:ilvl w:val="0"/>
          <w:numId w:val="8"/>
        </w:numPr>
      </w:pPr>
      <w:r>
        <w:t>Our business has not changed</w:t>
      </w:r>
      <w:r w:rsidR="00F0146E">
        <w:t>.</w:t>
      </w:r>
      <w:r>
        <w:t xml:space="preserve"> Still providing same service – the </w:t>
      </w:r>
      <w:r w:rsidR="00FB6858">
        <w:t>methodology used to develop our</w:t>
      </w:r>
      <w:r>
        <w:t xml:space="preserve"> financial statement results has changed.</w:t>
      </w:r>
    </w:p>
    <w:p w14:paraId="7A83BCAF" w14:textId="3C61AC56" w:rsidR="004050C4" w:rsidRDefault="005136F0" w:rsidP="00D15C87">
      <w:pPr>
        <w:pStyle w:val="ListParagraph"/>
        <w:numPr>
          <w:ilvl w:val="0"/>
          <w:numId w:val="8"/>
        </w:numPr>
      </w:pPr>
      <w:r>
        <w:t xml:space="preserve">IFRS 17 Financial Statements (FS) – </w:t>
      </w:r>
      <w:r w:rsidR="00E01B77">
        <w:t>m</w:t>
      </w:r>
      <w:r w:rsidR="004050C4">
        <w:t xml:space="preserve">ay have significant impact to opening liabilities in 2022; less impact </w:t>
      </w:r>
      <w:r w:rsidR="00FB6858">
        <w:t>for</w:t>
      </w:r>
      <w:r w:rsidR="004050C4">
        <w:t xml:space="preserve"> opening balances 2023 - with unprecedented increases in interest rates in 2023.</w:t>
      </w:r>
    </w:p>
    <w:p w14:paraId="6F1E1830" w14:textId="617965DB" w:rsidR="005136F0" w:rsidRDefault="004050C4" w:rsidP="00D15C87">
      <w:pPr>
        <w:pStyle w:val="ListParagraph"/>
        <w:numPr>
          <w:ilvl w:val="0"/>
          <w:numId w:val="8"/>
        </w:numPr>
      </w:pPr>
      <w:r>
        <w:t>IFRS 17 FS - better</w:t>
      </w:r>
      <w:r w:rsidR="005136F0">
        <w:t xml:space="preserve"> comparisons across WCBs as will all be using a closer / similarly calculated discount rate</w:t>
      </w:r>
      <w:proofErr w:type="gramStart"/>
      <w:r w:rsidR="005136F0">
        <w:t xml:space="preserve">.  </w:t>
      </w:r>
      <w:proofErr w:type="gramEnd"/>
    </w:p>
    <w:p w14:paraId="359B563C" w14:textId="3784C3B6" w:rsidR="005136F0" w:rsidRDefault="005136F0" w:rsidP="00D15C87">
      <w:pPr>
        <w:pStyle w:val="ListParagraph"/>
        <w:numPr>
          <w:ilvl w:val="0"/>
          <w:numId w:val="8"/>
        </w:numPr>
      </w:pPr>
      <w:r>
        <w:t xml:space="preserve">IFRS 17 FS – Will </w:t>
      </w:r>
      <w:r w:rsidR="004050C4">
        <w:t>align</w:t>
      </w:r>
      <w:r>
        <w:t xml:space="preserve"> with other insurance type business – separate </w:t>
      </w:r>
      <w:r w:rsidR="004050C4">
        <w:t>disclos</w:t>
      </w:r>
      <w:r w:rsidR="00FB6858">
        <w:t>ure</w:t>
      </w:r>
      <w:r>
        <w:t xml:space="preserve"> of insurance from other parts of operations </w:t>
      </w:r>
      <w:r w:rsidR="004050C4">
        <w:t>(investment</w:t>
      </w:r>
      <w:r>
        <w:t xml:space="preserve"> </w:t>
      </w:r>
      <w:r w:rsidR="004050C4">
        <w:t xml:space="preserve">/ other operations </w:t>
      </w:r>
      <w:r>
        <w:t>separate).</w:t>
      </w:r>
    </w:p>
    <w:p w14:paraId="4EBEB45D" w14:textId="29F45331" w:rsidR="00F0146E" w:rsidRDefault="00F0146E" w:rsidP="00D15C87">
      <w:pPr>
        <w:pStyle w:val="ListParagraph"/>
        <w:numPr>
          <w:ilvl w:val="0"/>
          <w:numId w:val="8"/>
        </w:numPr>
      </w:pPr>
      <w:r>
        <w:t xml:space="preserve">General consensus that Rate Setting will not be based on the IFRS 17 statements – boards take a longer-term approach to support stability and sustainable rates. </w:t>
      </w:r>
    </w:p>
    <w:p w14:paraId="3A3F0736" w14:textId="76A0C6F7" w:rsidR="00D15C87" w:rsidRDefault="004050C4" w:rsidP="00F0146E">
      <w:pPr>
        <w:ind w:left="720"/>
      </w:pPr>
      <w:r>
        <w:rPr>
          <w:rFonts w:ascii="Arial" w:hAnsi="Arial" w:cs="Arial"/>
          <w:sz w:val="20"/>
        </w:rPr>
        <w:t>Overall, business as usual, an accounting change, offering better comparability than IFRS 4 Insurance Contracts, aligning asset and liability measurement models to fair market value and consistent presentation and disclosures in the financial statements.</w:t>
      </w:r>
      <w:r>
        <w:rPr>
          <w:rFonts w:ascii="Arial" w:hAnsi="Arial" w:cs="Arial"/>
          <w:sz w:val="20"/>
        </w:rPr>
        <w:br/>
      </w:r>
    </w:p>
    <w:p w14:paraId="48A6D9B7" w14:textId="293C02FC" w:rsidR="00F0146E" w:rsidRDefault="00F0146E" w:rsidP="00D15C87">
      <w:pPr>
        <w:rPr>
          <w:b/>
          <w:bCs/>
        </w:rPr>
      </w:pPr>
    </w:p>
    <w:p w14:paraId="1564D2AB" w14:textId="77777777" w:rsidR="00F0146E" w:rsidRDefault="00F0146E" w:rsidP="00D15C87">
      <w:pPr>
        <w:rPr>
          <w:b/>
          <w:bCs/>
        </w:rPr>
      </w:pPr>
    </w:p>
    <w:p w14:paraId="12DC7984" w14:textId="121D0ADC" w:rsidR="00F0146E" w:rsidRDefault="00F0146E" w:rsidP="00D15C87">
      <w:pPr>
        <w:rPr>
          <w:b/>
          <w:bCs/>
        </w:rPr>
      </w:pPr>
      <w:r>
        <w:rPr>
          <w:b/>
          <w:bCs/>
        </w:rPr>
        <w:t>Next Steps:</w:t>
      </w:r>
    </w:p>
    <w:p w14:paraId="7F3653D7" w14:textId="623B489A" w:rsidR="00F0146E" w:rsidRPr="00F0146E" w:rsidRDefault="00F0146E" w:rsidP="00D15C87">
      <w:pPr>
        <w:rPr>
          <w:rFonts w:ascii="Calibri" w:eastAsiaTheme="minorHAnsi" w:hAnsi="Calibri" w:cs="Calibri"/>
          <w:sz w:val="22"/>
          <w:szCs w:val="22"/>
          <w:lang w:val="en-CA" w:eastAsia="en-CA"/>
        </w:rPr>
      </w:pPr>
    </w:p>
    <w:p w14:paraId="175D328F" w14:textId="0AE270A4" w:rsidR="00F0146E" w:rsidRDefault="00FB6858" w:rsidP="00F0146E">
      <w:pPr>
        <w:pStyle w:val="ListParagraph"/>
        <w:numPr>
          <w:ilvl w:val="0"/>
          <w:numId w:val="10"/>
        </w:numPr>
      </w:pPr>
      <w:r>
        <w:t xml:space="preserve">Once editor access granted, </w:t>
      </w:r>
      <w:r w:rsidR="00C7783E" w:rsidRPr="00F0146E">
        <w:t>Crystal</w:t>
      </w:r>
      <w:r w:rsidR="00F0146E" w:rsidRPr="00F0146E">
        <w:t xml:space="preserve"> </w:t>
      </w:r>
      <w:r>
        <w:t>will</w:t>
      </w:r>
      <w:r w:rsidRPr="00F0146E">
        <w:t xml:space="preserve"> </w:t>
      </w:r>
      <w:r w:rsidR="00F0146E" w:rsidRPr="00F0146E">
        <w:t xml:space="preserve">update the </w:t>
      </w:r>
      <w:r w:rsidR="00C7783E" w:rsidRPr="00F0146E">
        <w:t>SharePoint</w:t>
      </w:r>
      <w:r w:rsidR="00F0146E" w:rsidRPr="00F0146E">
        <w:t xml:space="preserve"> si</w:t>
      </w:r>
      <w:r w:rsidR="00C7783E">
        <w:t>t</w:t>
      </w:r>
      <w:r w:rsidR="00F0146E" w:rsidRPr="00F0146E">
        <w:t>e</w:t>
      </w:r>
      <w:r w:rsidR="000E2A4D">
        <w:t xml:space="preserve"> and share with CFO group.</w:t>
      </w:r>
    </w:p>
    <w:p w14:paraId="5E82582A" w14:textId="77777777" w:rsidR="00953F15" w:rsidRPr="00F0146E" w:rsidRDefault="00953F15" w:rsidP="00953F15">
      <w:pPr>
        <w:pStyle w:val="ListParagraph"/>
      </w:pPr>
    </w:p>
    <w:p w14:paraId="76434D6D" w14:textId="02F83B01" w:rsidR="00C7783E" w:rsidRDefault="00F0146E" w:rsidP="004D66ED">
      <w:pPr>
        <w:pStyle w:val="ListParagraph"/>
        <w:numPr>
          <w:ilvl w:val="0"/>
          <w:numId w:val="10"/>
        </w:numPr>
      </w:pPr>
      <w:r w:rsidRPr="00F0146E">
        <w:t xml:space="preserve">Small </w:t>
      </w:r>
      <w:r w:rsidR="00485409">
        <w:t xml:space="preserve">CFO IFRS 17 - sub – committee </w:t>
      </w:r>
      <w:r w:rsidRPr="00F0146E">
        <w:t>to meet b</w:t>
      </w:r>
      <w:r w:rsidR="00C7783E">
        <w:t>efore</w:t>
      </w:r>
      <w:r w:rsidRPr="00F0146E">
        <w:t xml:space="preserve"> </w:t>
      </w:r>
      <w:r w:rsidR="00C7783E">
        <w:t>F</w:t>
      </w:r>
      <w:r>
        <w:t>ebruary 28</w:t>
      </w:r>
      <w:r w:rsidRPr="00C7783E">
        <w:rPr>
          <w:vertAlign w:val="superscript"/>
        </w:rPr>
        <w:t>th</w:t>
      </w:r>
      <w:r>
        <w:t xml:space="preserve"> and put forward</w:t>
      </w:r>
      <w:r w:rsidR="00C7783E">
        <w:t xml:space="preserve"> key points for consideration.  </w:t>
      </w:r>
      <w:r w:rsidR="000E2A4D">
        <w:t>Crystal to set up a meeting time.</w:t>
      </w:r>
    </w:p>
    <w:p w14:paraId="71A08A02" w14:textId="77777777" w:rsidR="000E2A4D" w:rsidRDefault="000E2A4D" w:rsidP="000E2A4D">
      <w:pPr>
        <w:pStyle w:val="ListParagraph"/>
      </w:pPr>
    </w:p>
    <w:p w14:paraId="07FC3597" w14:textId="19C1F960" w:rsidR="000E2A4D" w:rsidRDefault="000E2A4D" w:rsidP="000E2A4D">
      <w:pPr>
        <w:pStyle w:val="ListParagraph"/>
        <w:numPr>
          <w:ilvl w:val="1"/>
          <w:numId w:val="10"/>
        </w:numPr>
      </w:pPr>
      <w:r>
        <w:t xml:space="preserve">From this, send the key points to all CFOs for further input prior to March 31. </w:t>
      </w:r>
    </w:p>
    <w:p w14:paraId="68576BDF" w14:textId="77777777" w:rsidR="00953F15" w:rsidRDefault="00953F15" w:rsidP="00953F15">
      <w:pPr>
        <w:pStyle w:val="ListParagraph"/>
      </w:pPr>
    </w:p>
    <w:p w14:paraId="4310D755" w14:textId="04ACF107" w:rsidR="00C7783E" w:rsidRDefault="00C7783E" w:rsidP="004D66ED">
      <w:pPr>
        <w:pStyle w:val="ListParagraph"/>
        <w:numPr>
          <w:ilvl w:val="0"/>
          <w:numId w:val="10"/>
        </w:numPr>
      </w:pPr>
      <w:r>
        <w:t xml:space="preserve">Maureen to reach </w:t>
      </w:r>
      <w:r w:rsidR="00FB6858">
        <w:t xml:space="preserve">out </w:t>
      </w:r>
      <w:r>
        <w:t>to AWCBC and request executive sponsor for the CFO group and to consider if there will be a communication on the AWCBC website noting this significant change in financial reporting.</w:t>
      </w:r>
    </w:p>
    <w:p w14:paraId="34D03776" w14:textId="77777777" w:rsidR="00953F15" w:rsidRDefault="00953F15" w:rsidP="00953F15">
      <w:pPr>
        <w:pStyle w:val="ListParagraph"/>
      </w:pPr>
    </w:p>
    <w:p w14:paraId="3E7B9006" w14:textId="26E32AC8" w:rsidR="00953F15" w:rsidRDefault="00C7783E" w:rsidP="00CA7334">
      <w:pPr>
        <w:pStyle w:val="ListParagraph"/>
        <w:numPr>
          <w:ilvl w:val="0"/>
          <w:numId w:val="10"/>
        </w:numPr>
      </w:pPr>
      <w:r>
        <w:t xml:space="preserve">Engage </w:t>
      </w:r>
      <w:r w:rsidR="00BF1D30">
        <w:t xml:space="preserve">AWCBC </w:t>
      </w:r>
      <w:r>
        <w:t xml:space="preserve">Communication Co chairs to consider the key messages </w:t>
      </w:r>
      <w:r w:rsidR="00BF1D30">
        <w:t xml:space="preserve"> (2.a) </w:t>
      </w:r>
      <w:r>
        <w:t>and request assistance to finesse to target audiences</w:t>
      </w:r>
      <w:r w:rsidR="00953F15">
        <w:t xml:space="preserve"> – </w:t>
      </w:r>
      <w:r>
        <w:t>Board of directors; annual report communications, and potentially on AWCBC website.</w:t>
      </w:r>
    </w:p>
    <w:p w14:paraId="48B48EEF" w14:textId="77777777" w:rsidR="00953F15" w:rsidRDefault="00953F15" w:rsidP="00953F15">
      <w:pPr>
        <w:pStyle w:val="ListParagraph"/>
      </w:pPr>
    </w:p>
    <w:p w14:paraId="7FD41503" w14:textId="17F56C6C" w:rsidR="00204A3D" w:rsidRDefault="00385436" w:rsidP="00953F15">
      <w:pPr>
        <w:pStyle w:val="ListParagraph"/>
        <w:numPr>
          <w:ilvl w:val="0"/>
          <w:numId w:val="10"/>
        </w:numPr>
      </w:pPr>
      <w:r w:rsidRPr="00953F15">
        <w:t xml:space="preserve">Key Statistical Measures (KSM) </w:t>
      </w:r>
      <w:r w:rsidR="00BF1D30">
        <w:t xml:space="preserve"> - Maureen to work with </w:t>
      </w:r>
      <w:r w:rsidR="004F0FBB">
        <w:t xml:space="preserve">Jilal to send out a request </w:t>
      </w:r>
      <w:r w:rsidR="00BF1D30">
        <w:t>for volunteers to further review</w:t>
      </w:r>
      <w:r w:rsidR="003431A5">
        <w:t xml:space="preserve"> KSMs </w:t>
      </w:r>
      <w:r w:rsidR="00BF1D30">
        <w:t xml:space="preserve">for </w:t>
      </w:r>
      <w:r w:rsidR="003431A5">
        <w:t>consideration to what is publicly available</w:t>
      </w:r>
      <w:r w:rsidR="00BF1D30">
        <w:t xml:space="preserve"> (w</w:t>
      </w:r>
      <w:r w:rsidR="003431A5">
        <w:t>hich ones are being used</w:t>
      </w:r>
      <w:r w:rsidR="00BF1D30">
        <w:t>; IFRS 17 vs 4</w:t>
      </w:r>
      <w:r w:rsidR="003431A5">
        <w:t>)?</w:t>
      </w:r>
    </w:p>
    <w:p w14:paraId="6230356F" w14:textId="77777777" w:rsidR="00A36BA9" w:rsidRDefault="00A36BA9" w:rsidP="00A36BA9">
      <w:pPr>
        <w:pStyle w:val="ListParagraph"/>
      </w:pPr>
    </w:p>
    <w:p w14:paraId="53C5B150" w14:textId="3C5D72C7" w:rsidR="00A36BA9" w:rsidRPr="00953F15" w:rsidRDefault="00A36BA9" w:rsidP="00A36BA9">
      <w:pPr>
        <w:rPr>
          <w:rFonts w:ascii="Calibri" w:eastAsiaTheme="minorHAnsi" w:hAnsi="Calibri" w:cs="Calibri"/>
          <w:sz w:val="22"/>
          <w:szCs w:val="22"/>
          <w:lang w:val="en-CA" w:eastAsia="en-CA"/>
        </w:rPr>
      </w:pPr>
    </w:p>
    <w:sectPr w:rsidR="00A36BA9" w:rsidRPr="00953F15" w:rsidSect="00136491">
      <w:pgSz w:w="12240" w:h="15840"/>
      <w:pgMar w:top="7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BB4D" w14:textId="77777777" w:rsidR="00457CC1" w:rsidRDefault="00457CC1" w:rsidP="00136491">
      <w:r>
        <w:separator/>
      </w:r>
    </w:p>
  </w:endnote>
  <w:endnote w:type="continuationSeparator" w:id="0">
    <w:p w14:paraId="54FEC318" w14:textId="77777777" w:rsidR="00457CC1" w:rsidRDefault="00457CC1" w:rsidP="0013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6B63" w14:textId="77777777" w:rsidR="00457CC1" w:rsidRDefault="00457CC1" w:rsidP="00136491">
      <w:r>
        <w:separator/>
      </w:r>
    </w:p>
  </w:footnote>
  <w:footnote w:type="continuationSeparator" w:id="0">
    <w:p w14:paraId="340FC2E3" w14:textId="77777777" w:rsidR="00457CC1" w:rsidRDefault="00457CC1" w:rsidP="0013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7CDB"/>
    <w:multiLevelType w:val="hybridMultilevel"/>
    <w:tmpl w:val="85209B1C"/>
    <w:lvl w:ilvl="0" w:tplc="6172D7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7BF9"/>
    <w:multiLevelType w:val="hybridMultilevel"/>
    <w:tmpl w:val="AFCCC3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40A"/>
    <w:multiLevelType w:val="hybridMultilevel"/>
    <w:tmpl w:val="AE4ADB6E"/>
    <w:lvl w:ilvl="0" w:tplc="75F81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333DB"/>
    <w:multiLevelType w:val="hybridMultilevel"/>
    <w:tmpl w:val="741240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85409"/>
    <w:multiLevelType w:val="hybridMultilevel"/>
    <w:tmpl w:val="FD80B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010C5"/>
    <w:multiLevelType w:val="hybridMultilevel"/>
    <w:tmpl w:val="08086848"/>
    <w:lvl w:ilvl="0" w:tplc="FCDE7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82D07"/>
    <w:multiLevelType w:val="hybridMultilevel"/>
    <w:tmpl w:val="20D887B2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31E0F3A"/>
    <w:multiLevelType w:val="hybridMultilevel"/>
    <w:tmpl w:val="8814EC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6537C5"/>
    <w:multiLevelType w:val="hybridMultilevel"/>
    <w:tmpl w:val="2D7A0E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2895">
    <w:abstractNumId w:val="0"/>
  </w:num>
  <w:num w:numId="2" w16cid:durableId="793137235">
    <w:abstractNumId w:val="6"/>
  </w:num>
  <w:num w:numId="3" w16cid:durableId="38751259">
    <w:abstractNumId w:val="0"/>
  </w:num>
  <w:num w:numId="4" w16cid:durableId="1547643916">
    <w:abstractNumId w:val="5"/>
  </w:num>
  <w:num w:numId="5" w16cid:durableId="1554461270">
    <w:abstractNumId w:val="8"/>
  </w:num>
  <w:num w:numId="6" w16cid:durableId="2077894041">
    <w:abstractNumId w:val="4"/>
  </w:num>
  <w:num w:numId="7" w16cid:durableId="453211110">
    <w:abstractNumId w:val="2"/>
  </w:num>
  <w:num w:numId="8" w16cid:durableId="1140151899">
    <w:abstractNumId w:val="7"/>
  </w:num>
  <w:num w:numId="9" w16cid:durableId="1207641544">
    <w:abstractNumId w:val="3"/>
  </w:num>
  <w:num w:numId="10" w16cid:durableId="111687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5"/>
    <w:rsid w:val="000C5A9F"/>
    <w:rsid w:val="000C78B6"/>
    <w:rsid w:val="000E2A4D"/>
    <w:rsid w:val="000E4975"/>
    <w:rsid w:val="00136491"/>
    <w:rsid w:val="001A3BC5"/>
    <w:rsid w:val="00204A3D"/>
    <w:rsid w:val="002A5620"/>
    <w:rsid w:val="0033091E"/>
    <w:rsid w:val="003431A5"/>
    <w:rsid w:val="0035256D"/>
    <w:rsid w:val="00371BE7"/>
    <w:rsid w:val="00385436"/>
    <w:rsid w:val="004050C4"/>
    <w:rsid w:val="00457CC1"/>
    <w:rsid w:val="00485409"/>
    <w:rsid w:val="004F0FBB"/>
    <w:rsid w:val="005136F0"/>
    <w:rsid w:val="005347F4"/>
    <w:rsid w:val="00575338"/>
    <w:rsid w:val="00645340"/>
    <w:rsid w:val="006D0595"/>
    <w:rsid w:val="007A2F90"/>
    <w:rsid w:val="007E7D68"/>
    <w:rsid w:val="009254EB"/>
    <w:rsid w:val="00953F15"/>
    <w:rsid w:val="00962DB3"/>
    <w:rsid w:val="00986804"/>
    <w:rsid w:val="009C582F"/>
    <w:rsid w:val="00A23FED"/>
    <w:rsid w:val="00A36BA9"/>
    <w:rsid w:val="00BF1D30"/>
    <w:rsid w:val="00C30F01"/>
    <w:rsid w:val="00C41D83"/>
    <w:rsid w:val="00C7783E"/>
    <w:rsid w:val="00CA2B9B"/>
    <w:rsid w:val="00D15C87"/>
    <w:rsid w:val="00D51845"/>
    <w:rsid w:val="00D55ABD"/>
    <w:rsid w:val="00E01B77"/>
    <w:rsid w:val="00E05EED"/>
    <w:rsid w:val="00E650B4"/>
    <w:rsid w:val="00E90FDF"/>
    <w:rsid w:val="00ED131C"/>
    <w:rsid w:val="00F0146E"/>
    <w:rsid w:val="00F43595"/>
    <w:rsid w:val="00F71ADE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0E95"/>
  <w15:chartTrackingRefBased/>
  <w15:docId w15:val="{1FDABD36-2CF5-4FE2-AF8F-A541F51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7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A3B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F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F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49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6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49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JlYThkOTktMGE2Ni00YWYyLTkwMjgtMzE4OWExYWIwMmM2%40thread.v2/0?context=%7b%22Tid%22%3a%22f92be3a4-bf2b-4d5d-a99a-51a39c5226c2%22%2c%22Oid%22%3a%22ec6a35d1-eccb-489f-b1cf-21c0f131215b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Jilal Jemal</dc:creator>
  <cp:keywords/>
  <dc:description/>
  <cp:lastModifiedBy>Boyd, Maureen</cp:lastModifiedBy>
  <cp:revision>2</cp:revision>
  <dcterms:created xsi:type="dcterms:W3CDTF">2023-02-17T19:41:00Z</dcterms:created>
  <dcterms:modified xsi:type="dcterms:W3CDTF">2023-02-17T19:41:00Z</dcterms:modified>
</cp:coreProperties>
</file>