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B77F" w14:textId="0D6486FC" w:rsidR="00E41FAD" w:rsidRDefault="00E41FAD" w:rsidP="00E41FAD">
      <w:pPr>
        <w:pStyle w:val="Heading6"/>
        <w:tabs>
          <w:tab w:val="left" w:pos="1225"/>
        </w:tabs>
      </w:pPr>
      <w:bookmarkStart w:id="0" w:name="4.1._Current_Year_Benefit_Costs_($_milli"/>
      <w:bookmarkStart w:id="1" w:name="_bookmark11"/>
      <w:bookmarkEnd w:id="0"/>
      <w:bookmarkEnd w:id="1"/>
      <w:r>
        <w:rPr>
          <w:noProof/>
        </w:rPr>
        <mc:AlternateContent>
          <mc:Choice Requires="wps">
            <w:drawing>
              <wp:anchor distT="0" distB="0" distL="0" distR="0" simplePos="0" relativeHeight="251659264" behindDoc="1" locked="0" layoutInCell="1" allowOverlap="1" wp14:anchorId="1FF0D9A1" wp14:editId="5FB26446">
                <wp:simplePos x="0" y="0"/>
                <wp:positionH relativeFrom="page">
                  <wp:posOffset>438785</wp:posOffset>
                </wp:positionH>
                <wp:positionV relativeFrom="paragraph">
                  <wp:posOffset>295910</wp:posOffset>
                </wp:positionV>
                <wp:extent cx="6896100" cy="1270"/>
                <wp:effectExtent l="19685" t="16510" r="18415" b="2032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27432">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952" id="Freeform: Shape 2" o:spid="_x0000_s1026" style="position:absolute;margin-left:34.55pt;margin-top:23.3pt;width:54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" path="m,l10860,e" filled="f" strokecolor="#1f487c" strokeweight="2.16pt">
                <v:path arrowok="t" o:connecttype="custom" o:connectlocs="0,0;6896100,0" o:connectangles="0,0"/>
                <w10:wrap type="topAndBottom" anchorx="page"/>
              </v:shape>
            </w:pict>
          </mc:Fallback>
        </mc:AlternateContent>
      </w:r>
      <w:r>
        <w:rPr>
          <w:color w:val="365F91"/>
        </w:rPr>
        <w:t>4.</w:t>
      </w:r>
      <w:r>
        <w:rPr>
          <w:color w:val="365F91"/>
        </w:rPr>
        <w:t>Current Year Benefit Costs ($</w:t>
      </w:r>
      <w:r>
        <w:rPr>
          <w:color w:val="365F91"/>
          <w:spacing w:val="-1"/>
        </w:rPr>
        <w:t xml:space="preserve"> </w:t>
      </w:r>
      <w:r>
        <w:rPr>
          <w:color w:val="365F91"/>
        </w:rPr>
        <w:t>millions)</w:t>
      </w:r>
    </w:p>
    <w:p w14:paraId="3C618450" w14:textId="77777777" w:rsidR="00E41FAD" w:rsidRDefault="00E41FAD" w:rsidP="00E41FAD">
      <w:pPr>
        <w:pStyle w:val="BodyText"/>
        <w:spacing w:before="6"/>
        <w:rPr>
          <w:b/>
          <w:sz w:val="20"/>
        </w:rPr>
      </w:pPr>
    </w:p>
    <w:p w14:paraId="041DD09A" w14:textId="77777777" w:rsidR="00E41FAD" w:rsidRDefault="00E41FAD" w:rsidP="00E41FAD">
      <w:pPr>
        <w:pStyle w:val="Heading8"/>
        <w:spacing w:before="93"/>
      </w:pPr>
      <w:r>
        <w:rPr>
          <w:color w:val="4F81BC"/>
        </w:rPr>
        <w:t>Current Definition:</w:t>
      </w:r>
    </w:p>
    <w:p w14:paraId="06D847C4" w14:textId="77777777" w:rsidR="00E41FAD" w:rsidRDefault="00E41FAD" w:rsidP="00E41FAD">
      <w:pPr>
        <w:spacing w:before="163"/>
        <w:ind w:left="720"/>
        <w:rPr>
          <w:i/>
        </w:rPr>
      </w:pPr>
      <w:r>
        <w:rPr>
          <w:i/>
        </w:rPr>
        <w:t>Updated: Decisions May 2016 and May 2017, updated on website June 2017</w:t>
      </w:r>
    </w:p>
    <w:p w14:paraId="6969D654" w14:textId="77777777" w:rsidR="00E41FAD" w:rsidRDefault="00E41FAD" w:rsidP="00E41FAD">
      <w:pPr>
        <w:pStyle w:val="BodyText"/>
        <w:spacing w:before="5"/>
        <w:rPr>
          <w:sz w:val="25"/>
        </w:rPr>
      </w:pPr>
    </w:p>
    <w:p w14:paraId="1C504DC1" w14:textId="77777777" w:rsidR="00E41FAD" w:rsidRDefault="00E41FAD" w:rsidP="00E41FAD">
      <w:pPr>
        <w:pStyle w:val="BodyText"/>
        <w:ind w:left="720"/>
      </w:pPr>
      <w:r>
        <w:rPr>
          <w:u w:val="single"/>
        </w:rPr>
        <w:t>Intent of Measure</w:t>
      </w:r>
    </w:p>
    <w:p w14:paraId="4FC3948B" w14:textId="77777777" w:rsidR="00E41FAD" w:rsidRDefault="00E41FAD" w:rsidP="00E41FAD">
      <w:pPr>
        <w:pStyle w:val="BodyText"/>
        <w:spacing w:before="37" w:line="276" w:lineRule="auto"/>
        <w:ind w:left="720" w:right="947"/>
      </w:pPr>
      <w:r>
        <w:t>To measure the cost of benefits related to injuries and diseases that occurred in the year. For assessable employers only.</w:t>
      </w:r>
    </w:p>
    <w:p w14:paraId="1D267183" w14:textId="77777777" w:rsidR="00E41FAD" w:rsidRDefault="00E41FAD" w:rsidP="00E41FAD">
      <w:pPr>
        <w:pStyle w:val="BodyText"/>
        <w:spacing w:before="4"/>
        <w:rPr>
          <w:sz w:val="25"/>
        </w:rPr>
      </w:pPr>
    </w:p>
    <w:p w14:paraId="66DD8056" w14:textId="77777777" w:rsidR="00E41FAD" w:rsidRDefault="00E41FAD" w:rsidP="00E41FAD">
      <w:pPr>
        <w:pStyle w:val="BodyText"/>
        <w:ind w:left="720"/>
      </w:pPr>
      <w:r>
        <w:rPr>
          <w:u w:val="single"/>
        </w:rPr>
        <w:t>Definition</w:t>
      </w:r>
    </w:p>
    <w:p w14:paraId="5A914399" w14:textId="77777777" w:rsidR="00E41FAD" w:rsidRDefault="00E41FAD" w:rsidP="00E41FAD">
      <w:pPr>
        <w:pStyle w:val="BodyText"/>
        <w:spacing w:before="38" w:line="276" w:lineRule="auto"/>
        <w:ind w:left="720" w:right="1289"/>
      </w:pPr>
      <w:r>
        <w:t>Total benefit costs incurred for injuries that occurred in the reference year and diseases that were reported/diagnosed in the reference year. For assessable employers only. Excludes administration costs.</w:t>
      </w:r>
    </w:p>
    <w:p w14:paraId="11DB350D" w14:textId="77777777" w:rsidR="00E41FAD" w:rsidRDefault="00E41FAD" w:rsidP="00E41FAD">
      <w:pPr>
        <w:pStyle w:val="BodyText"/>
        <w:spacing w:before="2"/>
        <w:rPr>
          <w:sz w:val="25"/>
        </w:rPr>
      </w:pPr>
    </w:p>
    <w:p w14:paraId="218EFFDA" w14:textId="77777777" w:rsidR="00E41FAD" w:rsidRDefault="00E41FAD" w:rsidP="00E41FAD">
      <w:pPr>
        <w:pStyle w:val="BodyText"/>
        <w:ind w:left="720"/>
      </w:pPr>
      <w:r>
        <w:rPr>
          <w:u w:val="single"/>
        </w:rPr>
        <w:t>Calculation</w:t>
      </w:r>
    </w:p>
    <w:p w14:paraId="05FA16A8" w14:textId="77777777" w:rsidR="00E41FAD" w:rsidRDefault="00E41FAD" w:rsidP="00E41FAD">
      <w:pPr>
        <w:pStyle w:val="BodyText"/>
        <w:spacing w:before="40" w:line="276" w:lineRule="auto"/>
        <w:ind w:left="720" w:right="754"/>
      </w:pPr>
      <w:r>
        <w:t xml:space="preserve">The cost is composed of two items: (1) the payments made during the year for injuries that occurred in the reference year and diseases that were reported/diagnosed in the reference year; and (2) the benefits liabilities related to those injuries and diseases </w:t>
      </w:r>
      <w:proofErr w:type="gramStart"/>
      <w:r>
        <w:t>at</w:t>
      </w:r>
      <w:proofErr w:type="gramEnd"/>
      <w:r>
        <w:t xml:space="preserve"> December 31 of the year.</w:t>
      </w:r>
    </w:p>
    <w:p w14:paraId="6643D0F1" w14:textId="77777777" w:rsidR="00E41FAD" w:rsidRDefault="00E41FAD" w:rsidP="00E41FAD">
      <w:pPr>
        <w:spacing w:before="119"/>
        <w:ind w:left="720"/>
      </w:pPr>
      <w:r>
        <w:rPr>
          <w:i/>
        </w:rPr>
        <w:t>Includes</w:t>
      </w:r>
      <w:r>
        <w:t>:</w:t>
      </w:r>
    </w:p>
    <w:p w14:paraId="52B3AA4E" w14:textId="77777777" w:rsidR="00E41FAD" w:rsidRDefault="00E41FAD" w:rsidP="00E41FAD">
      <w:pPr>
        <w:pStyle w:val="ListParagraph"/>
        <w:numPr>
          <w:ilvl w:val="2"/>
          <w:numId w:val="2"/>
        </w:numPr>
        <w:tabs>
          <w:tab w:val="left" w:pos="1440"/>
          <w:tab w:val="left" w:pos="1441"/>
        </w:tabs>
        <w:spacing w:before="39" w:line="271" w:lineRule="auto"/>
        <w:ind w:right="1930"/>
      </w:pPr>
      <w:r>
        <w:t>all benefits (</w:t>
      </w:r>
      <w:proofErr w:type="gramStart"/>
      <w:r>
        <w:t>i.e.</w:t>
      </w:r>
      <w:proofErr w:type="gramEnd"/>
      <w:r>
        <w:t xml:space="preserve"> short-term disability, long-term disability, survivors’ benefits, healthcare and rehabilitation</w:t>
      </w:r>
      <w:r>
        <w:rPr>
          <w:spacing w:val="-1"/>
        </w:rPr>
        <w:t xml:space="preserve"> </w:t>
      </w:r>
      <w:r>
        <w:t>services)</w:t>
      </w:r>
    </w:p>
    <w:p w14:paraId="51995CBC" w14:textId="77777777" w:rsidR="00E41FAD" w:rsidRDefault="00E41FAD" w:rsidP="00E41FAD">
      <w:pPr>
        <w:pStyle w:val="ListParagraph"/>
        <w:numPr>
          <w:ilvl w:val="2"/>
          <w:numId w:val="2"/>
        </w:numPr>
        <w:tabs>
          <w:tab w:val="left" w:pos="1440"/>
          <w:tab w:val="left" w:pos="1441"/>
        </w:tabs>
        <w:spacing w:before="5"/>
      </w:pPr>
      <w:r>
        <w:t>assessable employers only</w:t>
      </w:r>
    </w:p>
    <w:p w14:paraId="03876F71" w14:textId="77777777" w:rsidR="00E41FAD" w:rsidRDefault="00E41FAD" w:rsidP="00E41FAD">
      <w:pPr>
        <w:spacing w:before="158"/>
        <w:ind w:left="720"/>
      </w:pPr>
      <w:r>
        <w:rPr>
          <w:i/>
        </w:rPr>
        <w:t>Excludes</w:t>
      </w:r>
      <w:r>
        <w:t>:</w:t>
      </w:r>
    </w:p>
    <w:p w14:paraId="7DCAFF0A" w14:textId="77777777" w:rsidR="00E41FAD" w:rsidRDefault="00E41FAD" w:rsidP="00E41FAD">
      <w:pPr>
        <w:pStyle w:val="ListParagraph"/>
        <w:numPr>
          <w:ilvl w:val="2"/>
          <w:numId w:val="2"/>
        </w:numPr>
        <w:tabs>
          <w:tab w:val="left" w:pos="1440"/>
          <w:tab w:val="left" w:pos="1441"/>
        </w:tabs>
        <w:spacing w:before="37"/>
      </w:pPr>
      <w:r>
        <w:t>any administration</w:t>
      </w:r>
      <w:r>
        <w:rPr>
          <w:spacing w:val="-5"/>
        </w:rPr>
        <w:t xml:space="preserve"> </w:t>
      </w:r>
      <w:proofErr w:type="gramStart"/>
      <w:r>
        <w:t>expense</w:t>
      </w:r>
      <w:proofErr w:type="gramEnd"/>
    </w:p>
    <w:p w14:paraId="6FA71D4A" w14:textId="77777777" w:rsidR="00E41FAD" w:rsidRDefault="00E41FAD" w:rsidP="00E41FAD">
      <w:pPr>
        <w:pStyle w:val="ListParagraph"/>
        <w:numPr>
          <w:ilvl w:val="2"/>
          <w:numId w:val="2"/>
        </w:numPr>
        <w:tabs>
          <w:tab w:val="left" w:pos="1440"/>
          <w:tab w:val="left" w:pos="1441"/>
        </w:tabs>
        <w:spacing w:before="35"/>
      </w:pPr>
      <w:r>
        <w:t>self-insured</w:t>
      </w:r>
      <w:r>
        <w:rPr>
          <w:spacing w:val="-3"/>
        </w:rPr>
        <w:t xml:space="preserve"> </w:t>
      </w:r>
      <w:r>
        <w:t>employers</w:t>
      </w:r>
    </w:p>
    <w:p w14:paraId="791B870E" w14:textId="77777777" w:rsidR="00E41FAD" w:rsidRDefault="00E41FAD" w:rsidP="00E41FAD">
      <w:pPr>
        <w:pStyle w:val="ListParagraph"/>
        <w:numPr>
          <w:ilvl w:val="2"/>
          <w:numId w:val="2"/>
        </w:numPr>
        <w:tabs>
          <w:tab w:val="left" w:pos="1440"/>
          <w:tab w:val="left" w:pos="1441"/>
        </w:tabs>
        <w:spacing w:before="38"/>
      </w:pPr>
      <w:r>
        <w:t>latent occupational diseases yet to be</w:t>
      </w:r>
      <w:r>
        <w:rPr>
          <w:spacing w:val="-2"/>
        </w:rPr>
        <w:t xml:space="preserve"> </w:t>
      </w:r>
      <w:r>
        <w:t>reported/diagnosed</w:t>
      </w:r>
    </w:p>
    <w:p w14:paraId="301928EF" w14:textId="77777777" w:rsidR="00E41FAD" w:rsidRDefault="00E41FAD" w:rsidP="00E41FAD">
      <w:pPr>
        <w:pStyle w:val="BodyText"/>
        <w:spacing w:before="5"/>
        <w:rPr>
          <w:sz w:val="34"/>
        </w:rPr>
      </w:pPr>
    </w:p>
    <w:p w14:paraId="5044349C" w14:textId="77777777" w:rsidR="00E41FAD" w:rsidRDefault="00E41FAD" w:rsidP="00E41FAD">
      <w:pPr>
        <w:pStyle w:val="Heading8"/>
      </w:pPr>
      <w:r>
        <w:rPr>
          <w:color w:val="4F81BC"/>
        </w:rPr>
        <w:t>Prior Definitions:</w:t>
      </w:r>
    </w:p>
    <w:p w14:paraId="63A33211" w14:textId="77777777" w:rsidR="00E41FAD" w:rsidRDefault="00E41FAD" w:rsidP="00E41FAD">
      <w:pPr>
        <w:spacing w:before="158" w:line="276" w:lineRule="auto"/>
        <w:ind w:left="720" w:right="1755"/>
        <w:rPr>
          <w:b/>
        </w:rPr>
      </w:pPr>
      <w:r>
        <w:t xml:space="preserve">Name: </w:t>
      </w:r>
      <w:r>
        <w:rPr>
          <w:b/>
        </w:rPr>
        <w:t>Current Year Benefit Costs Incurred for Assessable employers. Excludes admin. costs ($millions)</w:t>
      </w:r>
    </w:p>
    <w:p w14:paraId="06C49783" w14:textId="77777777" w:rsidR="00E41FAD" w:rsidRDefault="00E41FAD" w:rsidP="00E41FAD">
      <w:pPr>
        <w:pStyle w:val="BodyText"/>
        <w:spacing w:before="7"/>
        <w:rPr>
          <w:b/>
          <w:sz w:val="25"/>
        </w:rPr>
      </w:pPr>
    </w:p>
    <w:p w14:paraId="3EF52E31" w14:textId="77777777" w:rsidR="00E41FAD" w:rsidRDefault="00E41FAD" w:rsidP="00E41FAD">
      <w:pPr>
        <w:pStyle w:val="BodyText"/>
        <w:ind w:left="720"/>
      </w:pPr>
      <w:r>
        <w:rPr>
          <w:u w:val="single"/>
        </w:rPr>
        <w:t>Intent of Measure</w:t>
      </w:r>
    </w:p>
    <w:p w14:paraId="5EF9F114" w14:textId="77777777" w:rsidR="00E41FAD" w:rsidRDefault="00E41FAD" w:rsidP="00E41FAD">
      <w:pPr>
        <w:pStyle w:val="BodyText"/>
        <w:spacing w:before="38"/>
        <w:ind w:left="720"/>
      </w:pPr>
      <w:r>
        <w:t>To measure the cost of benefits related to injuries and diseases that occurred in the year.</w:t>
      </w:r>
    </w:p>
    <w:p w14:paraId="35A27FF5" w14:textId="77777777" w:rsidR="00E41FAD" w:rsidRDefault="00E41FAD" w:rsidP="00E41FAD">
      <w:pPr>
        <w:pStyle w:val="BodyText"/>
        <w:spacing w:before="8"/>
        <w:rPr>
          <w:sz w:val="28"/>
        </w:rPr>
      </w:pPr>
    </w:p>
    <w:p w14:paraId="36139EDD" w14:textId="77777777" w:rsidR="00E41FAD" w:rsidRDefault="00E41FAD" w:rsidP="00E41FAD">
      <w:pPr>
        <w:pStyle w:val="BodyText"/>
        <w:ind w:left="720"/>
      </w:pPr>
      <w:r>
        <w:rPr>
          <w:u w:val="single"/>
        </w:rPr>
        <w:t>Definition</w:t>
      </w:r>
    </w:p>
    <w:p w14:paraId="29C25B5A" w14:textId="77777777" w:rsidR="00E41FAD" w:rsidRDefault="00E41FAD" w:rsidP="00E41FAD">
      <w:pPr>
        <w:pStyle w:val="BodyText"/>
        <w:spacing w:before="38" w:line="276" w:lineRule="auto"/>
        <w:ind w:left="720" w:right="2035"/>
      </w:pPr>
      <w:r>
        <w:t>Total benefit costs incurred for injuries that occurred in the reference year and diseases that were reported/diagnosed in the reference year. For assessable employers only.</w:t>
      </w:r>
    </w:p>
    <w:p w14:paraId="20376816" w14:textId="77777777" w:rsidR="00E41FAD" w:rsidRDefault="00E41FAD" w:rsidP="00E41FAD">
      <w:pPr>
        <w:pStyle w:val="BodyText"/>
        <w:spacing w:before="1"/>
        <w:rPr>
          <w:sz w:val="25"/>
        </w:rPr>
      </w:pPr>
    </w:p>
    <w:p w14:paraId="08A0C60C" w14:textId="77777777" w:rsidR="00E41FAD" w:rsidRDefault="00E41FAD" w:rsidP="00E41FAD">
      <w:pPr>
        <w:pStyle w:val="BodyText"/>
        <w:spacing w:before="1"/>
        <w:ind w:left="720"/>
      </w:pPr>
      <w:r>
        <w:rPr>
          <w:u w:val="single"/>
        </w:rPr>
        <w:t>Calculation</w:t>
      </w:r>
    </w:p>
    <w:p w14:paraId="5B241D27" w14:textId="77777777" w:rsidR="00E41FAD" w:rsidRDefault="00E41FAD" w:rsidP="00E41FAD">
      <w:pPr>
        <w:pStyle w:val="BodyText"/>
        <w:spacing w:before="77" w:line="276" w:lineRule="auto"/>
        <w:ind w:left="720" w:right="1558"/>
      </w:pPr>
      <w:r>
        <w:t>The cost is composed of two items: (1) the payments made during the year for the injuries that occurred in the reference year and diseases that were reported/diagnosed in the reference year, and (2) the benefits</w:t>
      </w:r>
      <w:r>
        <w:rPr>
          <w:spacing w:val="-36"/>
        </w:rPr>
        <w:t xml:space="preserve"> </w:t>
      </w:r>
      <w:r>
        <w:t xml:space="preserve">liabilities related to those injuries and diseases </w:t>
      </w:r>
      <w:proofErr w:type="gramStart"/>
      <w:r>
        <w:t>at</w:t>
      </w:r>
      <w:proofErr w:type="gramEnd"/>
      <w:r>
        <w:t xml:space="preserve"> December 31 of the year. Includes all benefits (</w:t>
      </w:r>
      <w:proofErr w:type="gramStart"/>
      <w:r>
        <w:t>i.e.</w:t>
      </w:r>
      <w:proofErr w:type="gramEnd"/>
      <w:r>
        <w:rPr>
          <w:spacing w:val="-20"/>
        </w:rPr>
        <w:t xml:space="preserve"> </w:t>
      </w:r>
      <w:r>
        <w:t>short-term</w:t>
      </w:r>
      <w:r>
        <w:t xml:space="preserve"> </w:t>
      </w:r>
      <w:r>
        <w:t>disability, long-term disability, survivors’ benefits, healthcare and rehabilitation services). Excludes any administration expense.</w:t>
      </w:r>
    </w:p>
    <w:p w14:paraId="137F590E" w14:textId="77777777" w:rsidR="00E41FAD" w:rsidRDefault="00E41FAD" w:rsidP="00E41FAD">
      <w:pPr>
        <w:pStyle w:val="BodyText"/>
        <w:spacing w:before="3"/>
        <w:rPr>
          <w:sz w:val="31"/>
        </w:rPr>
      </w:pPr>
    </w:p>
    <w:p w14:paraId="1788398B" w14:textId="77777777" w:rsidR="00E41FAD" w:rsidRDefault="00E41FAD" w:rsidP="00E41FAD">
      <w:pPr>
        <w:pStyle w:val="Heading8"/>
        <w:spacing w:before="1"/>
      </w:pPr>
      <w:r>
        <w:rPr>
          <w:color w:val="4F81BC"/>
        </w:rPr>
        <w:t>Original Definition:</w:t>
      </w:r>
    </w:p>
    <w:p w14:paraId="60143999" w14:textId="77777777" w:rsidR="00E41FAD" w:rsidRDefault="00E41FAD" w:rsidP="00E41FAD">
      <w:pPr>
        <w:spacing w:before="162"/>
        <w:ind w:left="720"/>
        <w:rPr>
          <w:i/>
        </w:rPr>
      </w:pPr>
      <w:r>
        <w:rPr>
          <w:i/>
        </w:rPr>
        <w:lastRenderedPageBreak/>
        <w:t>Original definition for this KSM needs to be input.</w:t>
      </w:r>
    </w:p>
    <w:p w14:paraId="02F293F4" w14:textId="77777777" w:rsidR="00E41FAD" w:rsidRDefault="00E41FAD" w:rsidP="00E41FAD">
      <w:pPr>
        <w:pStyle w:val="BodyText"/>
        <w:spacing w:before="7"/>
        <w:rPr>
          <w:i/>
          <w:sz w:val="34"/>
        </w:rPr>
      </w:pPr>
    </w:p>
    <w:p w14:paraId="2F22A44D" w14:textId="77777777" w:rsidR="00E41FAD" w:rsidRDefault="00E41FAD" w:rsidP="00E41FAD">
      <w:pPr>
        <w:pStyle w:val="Heading8"/>
      </w:pPr>
      <w:r>
        <w:rPr>
          <w:color w:val="4F81BC"/>
        </w:rPr>
        <w:t>Decisions related to this KSM:</w:t>
      </w:r>
    </w:p>
    <w:p w14:paraId="5F05DB57" w14:textId="77777777" w:rsidR="00E41FAD" w:rsidRDefault="00E41FAD" w:rsidP="00E41FAD">
      <w:pPr>
        <w:pStyle w:val="ListParagraph"/>
        <w:numPr>
          <w:ilvl w:val="2"/>
          <w:numId w:val="2"/>
        </w:numPr>
        <w:tabs>
          <w:tab w:val="left" w:pos="1440"/>
          <w:tab w:val="left" w:pos="1441"/>
        </w:tabs>
      </w:pPr>
      <w:r>
        <w:t>Updated Intent to include “assessable employers only”. See KSM-related decisions</w:t>
      </w:r>
      <w:r>
        <w:rPr>
          <w:color w:val="0000FF"/>
        </w:rPr>
        <w:t xml:space="preserve"> </w:t>
      </w:r>
      <w:hyperlink w:anchor="_bookmark84" w:history="1">
        <w:r>
          <w:rPr>
            <w:color w:val="0000FF"/>
            <w:u w:val="single" w:color="0000FF"/>
          </w:rPr>
          <w:t>May</w:t>
        </w:r>
        <w:r>
          <w:rPr>
            <w:color w:val="0000FF"/>
            <w:spacing w:val="-15"/>
            <w:u w:val="single" w:color="0000FF"/>
          </w:rPr>
          <w:t xml:space="preserve"> </w:t>
        </w:r>
        <w:r>
          <w:rPr>
            <w:color w:val="0000FF"/>
            <w:u w:val="single" w:color="0000FF"/>
          </w:rPr>
          <w:t>2017</w:t>
        </w:r>
      </w:hyperlink>
      <w:r>
        <w:t>.</w:t>
      </w:r>
    </w:p>
    <w:p w14:paraId="7EBC8061" w14:textId="77777777" w:rsidR="00E41FAD" w:rsidRDefault="00E41FAD" w:rsidP="00E41FAD">
      <w:pPr>
        <w:pStyle w:val="ListParagraph"/>
        <w:numPr>
          <w:ilvl w:val="2"/>
          <w:numId w:val="2"/>
        </w:numPr>
        <w:tabs>
          <w:tab w:val="left" w:pos="1440"/>
          <w:tab w:val="left" w:pos="1441"/>
        </w:tabs>
        <w:spacing w:before="158" w:line="271" w:lineRule="auto"/>
        <w:ind w:right="878"/>
      </w:pPr>
      <w:r>
        <w:t>Updated Calculation to specifically exclude latent occupational diseases yet to be reported/diagnosed. See KSM-related decisions</w:t>
      </w:r>
      <w:r>
        <w:rPr>
          <w:color w:val="0000FF"/>
        </w:rPr>
        <w:t xml:space="preserve"> </w:t>
      </w:r>
      <w:hyperlink w:anchor="_bookmark85" w:history="1">
        <w:r>
          <w:rPr>
            <w:color w:val="0000FF"/>
            <w:u w:val="single" w:color="0000FF"/>
          </w:rPr>
          <w:t>May 2016</w:t>
        </w:r>
        <w:r>
          <w:rPr>
            <w:color w:val="0000FF"/>
          </w:rPr>
          <w:t xml:space="preserve"> </w:t>
        </w:r>
      </w:hyperlink>
      <w:r>
        <w:t>and</w:t>
      </w:r>
      <w:hyperlink w:anchor="_bookmark84" w:history="1">
        <w:r>
          <w:rPr>
            <w:color w:val="0000FF"/>
          </w:rPr>
          <w:t xml:space="preserve"> </w:t>
        </w:r>
        <w:r>
          <w:rPr>
            <w:color w:val="0000FF"/>
            <w:u w:val="single" w:color="0000FF"/>
          </w:rPr>
          <w:t>May</w:t>
        </w:r>
        <w:r>
          <w:rPr>
            <w:color w:val="0000FF"/>
            <w:spacing w:val="-3"/>
            <w:u w:val="single" w:color="0000FF"/>
          </w:rPr>
          <w:t xml:space="preserve"> </w:t>
        </w:r>
        <w:r>
          <w:rPr>
            <w:color w:val="0000FF"/>
            <w:u w:val="single" w:color="0000FF"/>
          </w:rPr>
          <w:t>2017</w:t>
        </w:r>
      </w:hyperlink>
      <w:r>
        <w:t>.</w:t>
      </w:r>
    </w:p>
    <w:p w14:paraId="2095F909" w14:textId="77777777" w:rsidR="00E41FAD" w:rsidRDefault="00E41FAD" w:rsidP="00E41FAD">
      <w:pPr>
        <w:pStyle w:val="ListParagraph"/>
        <w:numPr>
          <w:ilvl w:val="2"/>
          <w:numId w:val="2"/>
        </w:numPr>
        <w:tabs>
          <w:tab w:val="left" w:pos="1440"/>
          <w:tab w:val="left" w:pos="1441"/>
        </w:tabs>
        <w:spacing w:before="125"/>
      </w:pPr>
      <w:r>
        <w:t>Updated wording for easier readability. See KSM-related decisions</w:t>
      </w:r>
      <w:r>
        <w:rPr>
          <w:color w:val="0000FF"/>
        </w:rPr>
        <w:t xml:space="preserve"> </w:t>
      </w:r>
      <w:hyperlink w:anchor="_bookmark85" w:history="1">
        <w:r>
          <w:rPr>
            <w:color w:val="0000FF"/>
            <w:u w:val="single" w:color="0000FF"/>
          </w:rPr>
          <w:t>May</w:t>
        </w:r>
        <w:r>
          <w:rPr>
            <w:color w:val="0000FF"/>
            <w:spacing w:val="-4"/>
            <w:u w:val="single" w:color="0000FF"/>
          </w:rPr>
          <w:t xml:space="preserve"> </w:t>
        </w:r>
        <w:r>
          <w:rPr>
            <w:color w:val="0000FF"/>
            <w:u w:val="single" w:color="0000FF"/>
          </w:rPr>
          <w:t>2016</w:t>
        </w:r>
      </w:hyperlink>
      <w:r>
        <w:t>.</w:t>
      </w:r>
    </w:p>
    <w:p w14:paraId="347F820C" w14:textId="77777777" w:rsidR="00E41FAD" w:rsidRDefault="00E41FAD" w:rsidP="00E41FAD">
      <w:pPr>
        <w:pStyle w:val="ListParagraph"/>
        <w:numPr>
          <w:ilvl w:val="2"/>
          <w:numId w:val="2"/>
        </w:numPr>
        <w:tabs>
          <w:tab w:val="left" w:pos="1440"/>
          <w:tab w:val="left" w:pos="1441"/>
        </w:tabs>
        <w:spacing w:before="158"/>
      </w:pPr>
      <w:r>
        <w:t>KSM 4.1 (Current Year Benefit Costs) should be replaced with IR2 (Current Year Benefit Costs</w:t>
      </w:r>
      <w:r>
        <w:rPr>
          <w:spacing w:val="-10"/>
        </w:rPr>
        <w:t xml:space="preserve"> </w:t>
      </w:r>
      <w:r>
        <w:t>per</w:t>
      </w:r>
    </w:p>
    <w:p w14:paraId="1AACCD8B" w14:textId="77777777" w:rsidR="00E41FAD" w:rsidRDefault="00E41FAD" w:rsidP="00E41FAD">
      <w:pPr>
        <w:pStyle w:val="BodyText"/>
        <w:spacing w:before="36"/>
        <w:ind w:left="1440"/>
      </w:pPr>
      <w:r>
        <w:t xml:space="preserve">$100 Assessable Payroll) in the highlight report. See KSM-related decisions </w:t>
      </w:r>
      <w:hyperlink w:anchor="_bookmark88" w:history="1">
        <w:r>
          <w:rPr>
            <w:color w:val="0000FF"/>
            <w:u w:val="single" w:color="0000FF"/>
          </w:rPr>
          <w:t>May 2015</w:t>
        </w:r>
      </w:hyperlink>
      <w:r>
        <w:t>.</w:t>
      </w:r>
    </w:p>
    <w:p w14:paraId="72561666" w14:textId="77777777" w:rsidR="00E41FAD" w:rsidRDefault="00E41FAD" w:rsidP="00E41FAD">
      <w:pPr>
        <w:pStyle w:val="BodyText"/>
        <w:spacing w:before="6"/>
        <w:rPr>
          <w:sz w:val="26"/>
        </w:rPr>
      </w:pPr>
    </w:p>
    <w:p w14:paraId="6BA63D24" w14:textId="77777777" w:rsidR="00E41FAD" w:rsidRDefault="00E41FAD" w:rsidP="00E41FAD">
      <w:pPr>
        <w:pStyle w:val="Heading8"/>
        <w:spacing w:before="93"/>
      </w:pPr>
      <w:r>
        <w:rPr>
          <w:color w:val="4F81BC"/>
        </w:rPr>
        <w:t>Years valid:</w:t>
      </w:r>
    </w:p>
    <w:p w14:paraId="6384721B" w14:textId="77777777" w:rsidR="00E41FAD" w:rsidRDefault="00E41FAD" w:rsidP="00E41FAD">
      <w:pPr>
        <w:pStyle w:val="ListParagraph"/>
        <w:numPr>
          <w:ilvl w:val="2"/>
          <w:numId w:val="2"/>
        </w:numPr>
        <w:tabs>
          <w:tab w:val="left" w:pos="1440"/>
          <w:tab w:val="left" w:pos="1441"/>
        </w:tabs>
      </w:pPr>
      <w:r>
        <w:t>1999 –</w:t>
      </w:r>
      <w:r>
        <w:rPr>
          <w:spacing w:val="-1"/>
        </w:rPr>
        <w:t xml:space="preserve"> </w:t>
      </w:r>
      <w:r>
        <w:t>present</w:t>
      </w:r>
    </w:p>
    <w:p w14:paraId="6B1A6287" w14:textId="77777777" w:rsidR="00E41FAD" w:rsidRDefault="00E41FAD" w:rsidP="00E41FAD">
      <w:pPr>
        <w:pStyle w:val="BodyText"/>
        <w:spacing w:before="7"/>
        <w:rPr>
          <w:sz w:val="34"/>
        </w:rPr>
      </w:pPr>
    </w:p>
    <w:p w14:paraId="6E42C462" w14:textId="77777777" w:rsidR="00E41FAD" w:rsidRDefault="00E41FAD" w:rsidP="00E41FAD">
      <w:pPr>
        <w:pStyle w:val="Heading8"/>
      </w:pPr>
      <w:r>
        <w:rPr>
          <w:color w:val="4F81BC"/>
        </w:rPr>
        <w:t>Used to Calculate other KSMs:</w:t>
      </w:r>
    </w:p>
    <w:p w14:paraId="1274E0CF" w14:textId="77777777" w:rsidR="00E41FAD" w:rsidRDefault="00E41FAD" w:rsidP="00E41FAD">
      <w:pPr>
        <w:pStyle w:val="ListParagraph"/>
        <w:numPr>
          <w:ilvl w:val="2"/>
          <w:numId w:val="2"/>
        </w:numPr>
        <w:tabs>
          <w:tab w:val="left" w:pos="1440"/>
          <w:tab w:val="left" w:pos="1441"/>
        </w:tabs>
      </w:pPr>
      <w:hyperlink w:anchor="_bookmark50" w:history="1">
        <w:r>
          <w:rPr>
            <w:color w:val="0000FF"/>
            <w:u w:val="single" w:color="0000FF"/>
          </w:rPr>
          <w:t>IR2 Current Year Benefit Costs Per $100 of Assessable</w:t>
        </w:r>
        <w:r>
          <w:rPr>
            <w:color w:val="0000FF"/>
            <w:spacing w:val="-5"/>
            <w:u w:val="single" w:color="0000FF"/>
          </w:rPr>
          <w:t xml:space="preserve"> </w:t>
        </w:r>
        <w:r>
          <w:rPr>
            <w:color w:val="0000FF"/>
            <w:u w:val="single" w:color="0000FF"/>
          </w:rPr>
          <w:t>Payroll</w:t>
        </w:r>
      </w:hyperlink>
    </w:p>
    <w:p w14:paraId="4AA2E62B" w14:textId="28E12CC2" w:rsidR="00E41FAD" w:rsidRDefault="00E41FAD" w:rsidP="00E41FAD">
      <w:pPr>
        <w:pStyle w:val="BodyText"/>
        <w:spacing w:before="39" w:line="276" w:lineRule="auto"/>
        <w:ind w:left="720" w:right="832"/>
        <w:jc w:val="both"/>
        <w:sectPr w:rsidR="00E41FAD">
          <w:pgSz w:w="12240" w:h="15840"/>
          <w:pgMar w:top="640" w:right="0" w:bottom="960" w:left="0" w:header="0" w:footer="673" w:gutter="0"/>
          <w:cols w:space="720"/>
        </w:sectPr>
      </w:pPr>
      <w:hyperlink w:anchor="_bookmark55" w:history="1">
        <w:r>
          <w:rPr>
            <w:color w:val="0000FF"/>
            <w:u w:val="single" w:color="0000FF"/>
          </w:rPr>
          <w:t>IR5 Current Year Average Benefit Cost per Lost Time</w:t>
        </w:r>
        <w:r>
          <w:rPr>
            <w:color w:val="0000FF"/>
            <w:spacing w:val="-7"/>
            <w:u w:val="single" w:color="0000FF"/>
          </w:rPr>
          <w:t xml:space="preserve"> </w:t>
        </w:r>
        <w:r>
          <w:rPr>
            <w:color w:val="0000FF"/>
            <w:u w:val="single" w:color="0000FF"/>
          </w:rPr>
          <w:t>Claim</w:t>
        </w:r>
      </w:hyperlink>
    </w:p>
    <w:p w14:paraId="30F79754" w14:textId="132ACAD4" w:rsidR="00E41FAD" w:rsidRDefault="00E41FAD" w:rsidP="00E41FAD">
      <w:pPr>
        <w:pStyle w:val="Heading6"/>
        <w:tabs>
          <w:tab w:val="left" w:pos="1153"/>
        </w:tabs>
      </w:pPr>
      <w:r>
        <w:rPr>
          <w:noProof/>
        </w:rPr>
        <w:lastRenderedPageBreak/>
        <mc:AlternateContent>
          <mc:Choice Requires="wps">
            <w:drawing>
              <wp:anchor distT="0" distB="0" distL="0" distR="0" simplePos="0" relativeHeight="251661312" behindDoc="1" locked="0" layoutInCell="1" allowOverlap="1" wp14:anchorId="001B4375" wp14:editId="2E455ED6">
                <wp:simplePos x="0" y="0"/>
                <wp:positionH relativeFrom="page">
                  <wp:posOffset>438785</wp:posOffset>
                </wp:positionH>
                <wp:positionV relativeFrom="paragraph">
                  <wp:posOffset>295910</wp:posOffset>
                </wp:positionV>
                <wp:extent cx="68961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27432">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540A2" id="Freeform: Shape 4" o:spid="_x0000_s1026" style="position:absolute;margin-left:34.55pt;margin-top:23.3pt;width: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" path="m,l10860,e" filled="f" strokecolor="#1f487c" strokeweight="2.16pt">
                <v:path arrowok="t" o:connecttype="custom" o:connectlocs="0,0;6896100,0" o:connectangles="0,0"/>
                <w10:wrap type="topAndBottom" anchorx="page"/>
              </v:shape>
            </w:pict>
          </mc:Fallback>
        </mc:AlternateContent>
      </w:r>
      <w:bookmarkStart w:id="2" w:name="15._Percentage_Funded"/>
      <w:bookmarkStart w:id="3" w:name="_bookmark32"/>
      <w:bookmarkEnd w:id="2"/>
      <w:bookmarkEnd w:id="3"/>
      <w:r>
        <w:rPr>
          <w:color w:val="365F91"/>
        </w:rPr>
        <w:t>15.</w:t>
      </w:r>
      <w:r>
        <w:rPr>
          <w:color w:val="365F91"/>
        </w:rPr>
        <w:t>Percentage</w:t>
      </w:r>
      <w:r>
        <w:rPr>
          <w:color w:val="365F91"/>
          <w:spacing w:val="-2"/>
        </w:rPr>
        <w:t xml:space="preserve"> </w:t>
      </w:r>
      <w:r>
        <w:rPr>
          <w:color w:val="365F91"/>
        </w:rPr>
        <w:t>Funded</w:t>
      </w:r>
    </w:p>
    <w:p w14:paraId="1B83B2B6" w14:textId="77777777" w:rsidR="00E41FAD" w:rsidRDefault="00E41FAD" w:rsidP="00E41FAD">
      <w:pPr>
        <w:pStyle w:val="BodyText"/>
        <w:spacing w:before="11"/>
        <w:rPr>
          <w:b/>
          <w:sz w:val="9"/>
        </w:rPr>
      </w:pPr>
    </w:p>
    <w:p w14:paraId="266BB5A7" w14:textId="77777777" w:rsidR="00E41FAD" w:rsidRDefault="00E41FAD" w:rsidP="00E41FAD">
      <w:pPr>
        <w:pStyle w:val="BodyText"/>
        <w:spacing w:before="93"/>
        <w:ind w:left="720"/>
      </w:pPr>
      <w:r>
        <w:t xml:space="preserve">This measure is part of the </w:t>
      </w:r>
      <w:hyperlink r:id="rId7">
        <w:r>
          <w:rPr>
            <w:color w:val="0000FF"/>
            <w:u w:val="single" w:color="0000FF"/>
          </w:rPr>
          <w:t xml:space="preserve">Canadian Workers’ Compensation System – Year </w:t>
        </w:r>
        <w:proofErr w:type="gramStart"/>
        <w:r>
          <w:rPr>
            <w:color w:val="0000FF"/>
            <w:u w:val="single" w:color="0000FF"/>
          </w:rPr>
          <w:t>at a Glance</w:t>
        </w:r>
        <w:proofErr w:type="gramEnd"/>
        <w:r>
          <w:rPr>
            <w:color w:val="0000FF"/>
            <w:u w:val="single" w:color="0000FF"/>
          </w:rPr>
          <w:t xml:space="preserve"> Report</w:t>
        </w:r>
      </w:hyperlink>
      <w:r>
        <w:t>.</w:t>
      </w:r>
    </w:p>
    <w:p w14:paraId="0D2490BA" w14:textId="77777777" w:rsidR="00E41FAD" w:rsidRDefault="00E41FAD" w:rsidP="00E41FAD">
      <w:pPr>
        <w:pStyle w:val="BodyText"/>
        <w:spacing w:before="5"/>
        <w:rPr>
          <w:sz w:val="16"/>
        </w:rPr>
      </w:pPr>
    </w:p>
    <w:p w14:paraId="4ED0E6DE" w14:textId="77777777" w:rsidR="00E41FAD" w:rsidRDefault="00E41FAD" w:rsidP="00E41FAD">
      <w:pPr>
        <w:pStyle w:val="Heading8"/>
        <w:spacing w:before="92"/>
      </w:pPr>
      <w:r>
        <w:rPr>
          <w:color w:val="4F81BC"/>
        </w:rPr>
        <w:t>Current Definition</w:t>
      </w:r>
    </w:p>
    <w:p w14:paraId="3F35AE70" w14:textId="77777777" w:rsidR="00E41FAD" w:rsidRDefault="00E41FAD" w:rsidP="00E41FAD">
      <w:pPr>
        <w:spacing w:before="161"/>
        <w:ind w:left="720"/>
        <w:rPr>
          <w:i/>
        </w:rPr>
      </w:pPr>
      <w:r>
        <w:rPr>
          <w:i/>
        </w:rPr>
        <w:t>Updated: Decision May 2016, updated on website June 2017</w:t>
      </w:r>
    </w:p>
    <w:p w14:paraId="0971C5B9" w14:textId="77777777" w:rsidR="00E41FAD" w:rsidRDefault="00E41FAD" w:rsidP="00E41FAD">
      <w:pPr>
        <w:pStyle w:val="BodyText"/>
        <w:spacing w:before="5"/>
        <w:rPr>
          <w:i/>
          <w:sz w:val="28"/>
        </w:rPr>
      </w:pPr>
    </w:p>
    <w:p w14:paraId="6CBB052C" w14:textId="77777777" w:rsidR="00E41FAD" w:rsidRDefault="00E41FAD" w:rsidP="00E41FAD">
      <w:pPr>
        <w:pStyle w:val="BodyText"/>
        <w:ind w:left="720"/>
      </w:pPr>
      <w:r>
        <w:rPr>
          <w:u w:val="single"/>
        </w:rPr>
        <w:t>Intent of Measure</w:t>
      </w:r>
    </w:p>
    <w:p w14:paraId="5DC26750" w14:textId="77777777" w:rsidR="00E41FAD" w:rsidRDefault="00E41FAD" w:rsidP="00E41FAD">
      <w:pPr>
        <w:pStyle w:val="BodyText"/>
        <w:spacing w:before="38"/>
        <w:ind w:left="720"/>
      </w:pPr>
      <w:r>
        <w:t>To measure the overall financial situation of Boards/Commissions at the end of the reference year.</w:t>
      </w:r>
    </w:p>
    <w:p w14:paraId="06024B7F" w14:textId="77777777" w:rsidR="00E41FAD" w:rsidRDefault="00E41FAD" w:rsidP="00E41FAD">
      <w:pPr>
        <w:pStyle w:val="BodyText"/>
        <w:spacing w:before="8"/>
        <w:rPr>
          <w:sz w:val="28"/>
        </w:rPr>
      </w:pPr>
    </w:p>
    <w:p w14:paraId="2116FC0A" w14:textId="77777777" w:rsidR="00E41FAD" w:rsidRDefault="00E41FAD" w:rsidP="00E41FAD">
      <w:pPr>
        <w:pStyle w:val="BodyText"/>
        <w:ind w:left="720"/>
      </w:pPr>
      <w:r>
        <w:rPr>
          <w:u w:val="single"/>
        </w:rPr>
        <w:t>Definition</w:t>
      </w:r>
    </w:p>
    <w:p w14:paraId="09CFC841" w14:textId="77777777" w:rsidR="00E41FAD" w:rsidRDefault="00E41FAD" w:rsidP="00E41FAD">
      <w:pPr>
        <w:pStyle w:val="BodyText"/>
        <w:spacing w:before="37"/>
        <w:ind w:left="720"/>
      </w:pPr>
      <w:r>
        <w:t>Ratio of total assets to total liabilities.</w:t>
      </w:r>
    </w:p>
    <w:p w14:paraId="03421712" w14:textId="77777777" w:rsidR="00E41FAD" w:rsidRDefault="00E41FAD" w:rsidP="00E41FAD">
      <w:pPr>
        <w:pStyle w:val="BodyText"/>
        <w:spacing w:before="9"/>
        <w:rPr>
          <w:sz w:val="28"/>
        </w:rPr>
      </w:pPr>
    </w:p>
    <w:p w14:paraId="197BBC86" w14:textId="77777777" w:rsidR="00E41FAD" w:rsidRDefault="00E41FAD" w:rsidP="00E41FAD">
      <w:pPr>
        <w:pStyle w:val="BodyText"/>
        <w:ind w:left="720"/>
      </w:pPr>
      <w:r>
        <w:rPr>
          <w:u w:val="single"/>
        </w:rPr>
        <w:t>Calculation</w:t>
      </w:r>
    </w:p>
    <w:p w14:paraId="3AFC0FE3" w14:textId="77777777" w:rsidR="00E41FAD" w:rsidRDefault="00E41FAD" w:rsidP="00E41FAD">
      <w:pPr>
        <w:spacing w:before="38"/>
        <w:ind w:left="720"/>
      </w:pPr>
      <w:r>
        <w:rPr>
          <w:i/>
        </w:rPr>
        <w:t>Formula</w:t>
      </w:r>
      <w:r>
        <w:t>:</w:t>
      </w:r>
    </w:p>
    <w:p w14:paraId="72FA5293" w14:textId="77777777" w:rsidR="00E41FAD" w:rsidRDefault="00E41FAD" w:rsidP="00E41FAD">
      <w:pPr>
        <w:pStyle w:val="BodyText"/>
        <w:spacing w:before="37"/>
        <w:ind w:left="720"/>
      </w:pPr>
      <w:r>
        <w:t>A / B x 100, where:</w:t>
      </w:r>
    </w:p>
    <w:p w14:paraId="083ECCD0" w14:textId="77777777" w:rsidR="00E41FAD" w:rsidRDefault="00E41FAD" w:rsidP="00E41FAD">
      <w:pPr>
        <w:pStyle w:val="BodyText"/>
        <w:spacing w:before="38"/>
        <w:ind w:left="1440"/>
      </w:pPr>
      <w:r>
        <w:t>A = total assets</w:t>
      </w:r>
    </w:p>
    <w:p w14:paraId="6C440154" w14:textId="77777777" w:rsidR="00E41FAD" w:rsidRDefault="00E41FAD" w:rsidP="00E41FAD">
      <w:pPr>
        <w:pStyle w:val="BodyText"/>
        <w:spacing w:before="37"/>
        <w:ind w:left="1440"/>
      </w:pPr>
      <w:r>
        <w:t>B = total liabilities.</w:t>
      </w:r>
    </w:p>
    <w:p w14:paraId="07F3F572" w14:textId="77777777" w:rsidR="00E41FAD" w:rsidRDefault="00E41FAD" w:rsidP="00E41FAD">
      <w:pPr>
        <w:pStyle w:val="BodyText"/>
        <w:spacing w:before="9"/>
        <w:rPr>
          <w:sz w:val="34"/>
        </w:rPr>
      </w:pPr>
    </w:p>
    <w:p w14:paraId="351BC8B1" w14:textId="77777777" w:rsidR="00E41FAD" w:rsidRDefault="00E41FAD" w:rsidP="00E41FAD">
      <w:pPr>
        <w:pStyle w:val="Heading8"/>
      </w:pPr>
      <w:r>
        <w:rPr>
          <w:color w:val="4F81BC"/>
        </w:rPr>
        <w:t>Prior Definitions:</w:t>
      </w:r>
    </w:p>
    <w:p w14:paraId="05EF0393" w14:textId="77777777" w:rsidR="00E41FAD" w:rsidRDefault="00E41FAD" w:rsidP="00E41FAD">
      <w:pPr>
        <w:spacing w:before="158"/>
        <w:ind w:left="720"/>
        <w:rPr>
          <w:b/>
        </w:rPr>
      </w:pPr>
      <w:r>
        <w:t xml:space="preserve">Name: </w:t>
      </w:r>
      <w:r>
        <w:rPr>
          <w:b/>
        </w:rPr>
        <w:t>Percentage Funded</w:t>
      </w:r>
    </w:p>
    <w:p w14:paraId="3D68C6A4" w14:textId="77777777" w:rsidR="00E41FAD" w:rsidRDefault="00E41FAD" w:rsidP="00E41FAD">
      <w:pPr>
        <w:pStyle w:val="BodyText"/>
        <w:spacing w:before="8"/>
        <w:rPr>
          <w:b/>
          <w:sz w:val="28"/>
        </w:rPr>
      </w:pPr>
    </w:p>
    <w:p w14:paraId="779949CE" w14:textId="77777777" w:rsidR="00E41FAD" w:rsidRDefault="00E41FAD" w:rsidP="00E41FAD">
      <w:pPr>
        <w:pStyle w:val="BodyText"/>
        <w:spacing w:before="1"/>
        <w:ind w:left="720"/>
      </w:pPr>
      <w:r>
        <w:rPr>
          <w:u w:val="single"/>
        </w:rPr>
        <w:t>Intent of Measure</w:t>
      </w:r>
    </w:p>
    <w:p w14:paraId="4EB167EF" w14:textId="77777777" w:rsidR="00E41FAD" w:rsidRDefault="00E41FAD" w:rsidP="00E41FAD">
      <w:pPr>
        <w:pStyle w:val="BodyText"/>
        <w:spacing w:before="39"/>
        <w:ind w:left="720"/>
      </w:pPr>
      <w:r>
        <w:t>To measure the overall financial situation for the reference year.</w:t>
      </w:r>
    </w:p>
    <w:p w14:paraId="06ED1EA9" w14:textId="77777777" w:rsidR="00E41FAD" w:rsidRDefault="00E41FAD" w:rsidP="00E41FAD">
      <w:pPr>
        <w:pStyle w:val="BodyText"/>
        <w:spacing w:before="6"/>
        <w:rPr>
          <w:sz w:val="28"/>
        </w:rPr>
      </w:pPr>
    </w:p>
    <w:p w14:paraId="51BDDCE9" w14:textId="77777777" w:rsidR="00E41FAD" w:rsidRDefault="00E41FAD" w:rsidP="00E41FAD">
      <w:pPr>
        <w:pStyle w:val="BodyText"/>
        <w:spacing w:before="1"/>
        <w:ind w:left="720"/>
      </w:pPr>
      <w:r>
        <w:rPr>
          <w:u w:val="single"/>
        </w:rPr>
        <w:t>Definition</w:t>
      </w:r>
    </w:p>
    <w:p w14:paraId="7BD0B43A" w14:textId="77777777" w:rsidR="00E41FAD" w:rsidRDefault="00E41FAD" w:rsidP="00E41FAD">
      <w:pPr>
        <w:pStyle w:val="BodyText"/>
        <w:spacing w:before="37"/>
        <w:ind w:left="720"/>
      </w:pPr>
      <w:r>
        <w:t>Ratio of total assets to total liabilities.</w:t>
      </w:r>
    </w:p>
    <w:p w14:paraId="109F1041" w14:textId="77777777" w:rsidR="00E41FAD" w:rsidRDefault="00E41FAD" w:rsidP="00E41FAD">
      <w:pPr>
        <w:pStyle w:val="BodyText"/>
        <w:spacing w:before="8"/>
        <w:rPr>
          <w:sz w:val="28"/>
        </w:rPr>
      </w:pPr>
    </w:p>
    <w:p w14:paraId="413F58C4" w14:textId="77777777" w:rsidR="00E41FAD" w:rsidRDefault="00E41FAD" w:rsidP="00E41FAD">
      <w:pPr>
        <w:pStyle w:val="BodyText"/>
        <w:ind w:left="720"/>
      </w:pPr>
      <w:r>
        <w:rPr>
          <w:u w:val="single"/>
        </w:rPr>
        <w:t>Calculation</w:t>
      </w:r>
    </w:p>
    <w:p w14:paraId="363D3829" w14:textId="77777777" w:rsidR="00E41FAD" w:rsidRDefault="00E41FAD" w:rsidP="00E41FAD">
      <w:pPr>
        <w:pStyle w:val="BodyText"/>
        <w:spacing w:before="38"/>
        <w:ind w:left="720"/>
      </w:pPr>
      <w:r>
        <w:t>Total assets divided by total liabilities x 100.</w:t>
      </w:r>
    </w:p>
    <w:p w14:paraId="65A05861" w14:textId="77777777" w:rsidR="00E41FAD" w:rsidRDefault="00E41FAD" w:rsidP="00E41FAD">
      <w:pPr>
        <w:pStyle w:val="BodyText"/>
        <w:spacing w:before="6"/>
        <w:rPr>
          <w:sz w:val="34"/>
        </w:rPr>
      </w:pPr>
    </w:p>
    <w:p w14:paraId="536B791F" w14:textId="77777777" w:rsidR="00E41FAD" w:rsidRDefault="00E41FAD" w:rsidP="00E41FAD">
      <w:pPr>
        <w:pStyle w:val="Heading8"/>
        <w:spacing w:before="1"/>
      </w:pPr>
      <w:r>
        <w:rPr>
          <w:color w:val="4F81BC"/>
        </w:rPr>
        <w:t>Original Definition:</w:t>
      </w:r>
    </w:p>
    <w:p w14:paraId="5D128C14" w14:textId="77777777" w:rsidR="00E41FAD" w:rsidRDefault="00E41FAD" w:rsidP="00E41FAD">
      <w:pPr>
        <w:spacing w:before="160"/>
        <w:ind w:left="720"/>
        <w:rPr>
          <w:i/>
        </w:rPr>
      </w:pPr>
      <w:r>
        <w:rPr>
          <w:i/>
        </w:rPr>
        <w:t>Original definition for this KSM needs to be input.</w:t>
      </w:r>
    </w:p>
    <w:p w14:paraId="2B94B1BC" w14:textId="77777777" w:rsidR="00E41FAD" w:rsidRDefault="00E41FAD" w:rsidP="00E41FAD">
      <w:pPr>
        <w:pStyle w:val="BodyText"/>
        <w:spacing w:before="10"/>
        <w:rPr>
          <w:i/>
          <w:sz w:val="34"/>
        </w:rPr>
      </w:pPr>
    </w:p>
    <w:p w14:paraId="0273444E" w14:textId="77777777" w:rsidR="00E41FAD" w:rsidRDefault="00E41FAD" w:rsidP="00E41FAD">
      <w:pPr>
        <w:pStyle w:val="Heading8"/>
      </w:pPr>
      <w:r>
        <w:rPr>
          <w:color w:val="4F81BC"/>
        </w:rPr>
        <w:t>Decisions related to this KSM:</w:t>
      </w:r>
    </w:p>
    <w:p w14:paraId="1B1010FF" w14:textId="77777777" w:rsidR="00E41FAD" w:rsidRDefault="00E41FAD" w:rsidP="00E41FAD">
      <w:pPr>
        <w:pStyle w:val="ListParagraph"/>
        <w:numPr>
          <w:ilvl w:val="1"/>
          <w:numId w:val="3"/>
        </w:numPr>
        <w:tabs>
          <w:tab w:val="left" w:pos="1440"/>
          <w:tab w:val="left" w:pos="1441"/>
        </w:tabs>
        <w:rPr>
          <w:rFonts w:ascii="Symbol" w:hAnsi="Symbol"/>
        </w:rPr>
      </w:pPr>
      <w:r>
        <w:t>Updated wording for easier readability. See KSM-related decisions</w:t>
      </w:r>
      <w:r>
        <w:rPr>
          <w:color w:val="0000FF"/>
        </w:rPr>
        <w:t xml:space="preserve"> </w:t>
      </w:r>
      <w:hyperlink w:anchor="_bookmark85" w:history="1">
        <w:r>
          <w:rPr>
            <w:color w:val="0000FF"/>
            <w:u w:val="single" w:color="0000FF"/>
          </w:rPr>
          <w:t>May</w:t>
        </w:r>
        <w:r>
          <w:rPr>
            <w:color w:val="0000FF"/>
            <w:spacing w:val="-4"/>
            <w:u w:val="single" w:color="0000FF"/>
          </w:rPr>
          <w:t xml:space="preserve"> </w:t>
        </w:r>
        <w:r>
          <w:rPr>
            <w:color w:val="0000FF"/>
            <w:u w:val="single" w:color="0000FF"/>
          </w:rPr>
          <w:t>2016</w:t>
        </w:r>
      </w:hyperlink>
      <w:r>
        <w:t>.</w:t>
      </w:r>
    </w:p>
    <w:p w14:paraId="5268C401" w14:textId="77777777" w:rsidR="00E41FAD" w:rsidRDefault="00E41FAD" w:rsidP="00E41FAD">
      <w:pPr>
        <w:pStyle w:val="ListParagraph"/>
        <w:numPr>
          <w:ilvl w:val="1"/>
          <w:numId w:val="3"/>
        </w:numPr>
        <w:tabs>
          <w:tab w:val="left" w:pos="1440"/>
          <w:tab w:val="left" w:pos="1441"/>
        </w:tabs>
        <w:spacing w:before="155"/>
        <w:rPr>
          <w:rFonts w:ascii="Symbol" w:hAnsi="Symbol"/>
        </w:rPr>
      </w:pPr>
      <w:r>
        <w:t>Recommended to be part of</w:t>
      </w:r>
      <w:r>
        <w:rPr>
          <w:color w:val="0000FF"/>
        </w:rPr>
        <w:t xml:space="preserve"> </w:t>
      </w:r>
      <w:hyperlink r:id="rId8">
        <w:r>
          <w:rPr>
            <w:color w:val="0000FF"/>
            <w:u w:val="single" w:color="0000FF"/>
          </w:rPr>
          <w:t xml:space="preserve">Year </w:t>
        </w:r>
        <w:proofErr w:type="gramStart"/>
        <w:r>
          <w:rPr>
            <w:color w:val="0000FF"/>
            <w:u w:val="single" w:color="0000FF"/>
          </w:rPr>
          <w:t>at a Glance</w:t>
        </w:r>
        <w:proofErr w:type="gramEnd"/>
        <w:r>
          <w:rPr>
            <w:color w:val="0000FF"/>
          </w:rPr>
          <w:t xml:space="preserve"> </w:t>
        </w:r>
      </w:hyperlink>
      <w:r>
        <w:t>report. See KSM-related decisions</w:t>
      </w:r>
      <w:hyperlink w:anchor="_bookmark88" w:history="1">
        <w:r>
          <w:rPr>
            <w:color w:val="0000FF"/>
          </w:rPr>
          <w:t xml:space="preserve"> </w:t>
        </w:r>
        <w:r>
          <w:rPr>
            <w:color w:val="0000FF"/>
            <w:u w:val="single" w:color="0000FF"/>
          </w:rPr>
          <w:t>May</w:t>
        </w:r>
        <w:r>
          <w:rPr>
            <w:color w:val="0000FF"/>
            <w:spacing w:val="-9"/>
            <w:u w:val="single" w:color="0000FF"/>
          </w:rPr>
          <w:t xml:space="preserve"> </w:t>
        </w:r>
        <w:r>
          <w:rPr>
            <w:color w:val="0000FF"/>
            <w:u w:val="single" w:color="0000FF"/>
          </w:rPr>
          <w:t>2015</w:t>
        </w:r>
      </w:hyperlink>
      <w:r>
        <w:t>.</w:t>
      </w:r>
    </w:p>
    <w:p w14:paraId="71D44A21" w14:textId="77777777" w:rsidR="00E41FAD" w:rsidRPr="00E41FAD" w:rsidRDefault="00E41FAD" w:rsidP="00E41FAD">
      <w:pPr>
        <w:pStyle w:val="ListParagraph"/>
        <w:numPr>
          <w:ilvl w:val="1"/>
          <w:numId w:val="3"/>
        </w:numPr>
        <w:tabs>
          <w:tab w:val="left" w:pos="1441"/>
        </w:tabs>
        <w:spacing w:before="77" w:line="271" w:lineRule="auto"/>
        <w:ind w:right="998"/>
        <w:jc w:val="both"/>
        <w:rPr>
          <w:rFonts w:ascii="Symbol" w:hAnsi="Symbol"/>
        </w:rPr>
      </w:pPr>
      <w:r>
        <w:t>The definition of Percentage Funded (KSM 15) was reviewed with respect to reserves. KSM 15 was presented two ways: (a) as assets divided by liabilities plus reserves; and (b) assets divided by liabilities (no reserves). It was decided that the calculation of KSM 15 will be changed to assets divided by liabilities and will exclude reserves. KSM 15 will be restated using this new definition (for years</w:t>
      </w:r>
      <w:r>
        <w:rPr>
          <w:spacing w:val="-33"/>
        </w:rPr>
        <w:t xml:space="preserve"> </w:t>
      </w:r>
      <w:r>
        <w:t>1996 to 2007). Jurisdictions (AB, BC, NL, NWT, SK, YT) are to submit revised 1996 to 2007 figures using new definition. It should be noted that the definition changed. See KSM-related decisions</w:t>
      </w:r>
      <w:r>
        <w:rPr>
          <w:color w:val="0000FF"/>
        </w:rPr>
        <w:t xml:space="preserve"> </w:t>
      </w:r>
      <w:hyperlink w:anchor="_bookmark106" w:history="1">
        <w:r>
          <w:rPr>
            <w:color w:val="0000FF"/>
            <w:u w:val="single" w:color="0000FF"/>
          </w:rPr>
          <w:t>November</w:t>
        </w:r>
      </w:hyperlink>
      <w:hyperlink w:anchor="_bookmark106" w:history="1">
        <w:r>
          <w:rPr>
            <w:color w:val="0000FF"/>
            <w:u w:val="single" w:color="0000FF"/>
          </w:rPr>
          <w:t xml:space="preserve"> 2008</w:t>
        </w:r>
      </w:hyperlink>
      <w:r>
        <w:t>.</w:t>
      </w:r>
      <w:r w:rsidRPr="00E41FAD">
        <w:t xml:space="preserve"> </w:t>
      </w:r>
    </w:p>
    <w:p w14:paraId="666000F6" w14:textId="77777777" w:rsidR="00E41FAD" w:rsidRPr="00E41FAD" w:rsidRDefault="00E41FAD" w:rsidP="00E41FAD">
      <w:pPr>
        <w:pStyle w:val="ListParagraph"/>
        <w:tabs>
          <w:tab w:val="left" w:pos="1441"/>
        </w:tabs>
        <w:spacing w:before="77" w:line="271" w:lineRule="auto"/>
        <w:ind w:right="998" w:firstLine="0"/>
        <w:jc w:val="both"/>
        <w:rPr>
          <w:rFonts w:ascii="Symbol" w:hAnsi="Symbol"/>
        </w:rPr>
      </w:pPr>
    </w:p>
    <w:p w14:paraId="5DBE672B" w14:textId="782CB671" w:rsidR="00E41FAD" w:rsidRDefault="00E41FAD" w:rsidP="00E41FAD">
      <w:pPr>
        <w:pStyle w:val="ListParagraph"/>
        <w:numPr>
          <w:ilvl w:val="1"/>
          <w:numId w:val="3"/>
        </w:numPr>
        <w:tabs>
          <w:tab w:val="left" w:pos="1441"/>
        </w:tabs>
        <w:spacing w:before="77" w:line="271" w:lineRule="auto"/>
        <w:ind w:right="998"/>
        <w:jc w:val="both"/>
        <w:rPr>
          <w:rFonts w:ascii="Symbol" w:hAnsi="Symbol"/>
        </w:rPr>
      </w:pPr>
      <w:r>
        <w:lastRenderedPageBreak/>
        <w:t>There was discussion about AWCBC's calculation of funding ratio and the possibility of creating a supplementary funding ratio measure that includes OD reserves. The definition of funding ratio</w:t>
      </w:r>
      <w:r>
        <w:rPr>
          <w:spacing w:val="-24"/>
        </w:rPr>
        <w:t xml:space="preserve"> </w:t>
      </w:r>
      <w:r>
        <w:t>(KSM</w:t>
      </w:r>
    </w:p>
    <w:p w14:paraId="6C88CA2A" w14:textId="77777777" w:rsidR="00E41FAD" w:rsidRDefault="00E41FAD" w:rsidP="00E41FAD">
      <w:pPr>
        <w:pStyle w:val="BodyText"/>
        <w:spacing w:before="8" w:line="276" w:lineRule="auto"/>
        <w:ind w:left="1440" w:right="1452"/>
        <w:jc w:val="both"/>
      </w:pPr>
      <w:r>
        <w:t>15) will be clarified with respect to OD reserves and will be presented at Fall CFO meeting. The definition of KSM 15 to be monitored as IFRS is implemented. AWCBC to make all jurisdictions’ current funding policies available online. See KSM-related decisions</w:t>
      </w:r>
      <w:r>
        <w:rPr>
          <w:color w:val="0000FF"/>
        </w:rPr>
        <w:t xml:space="preserve"> </w:t>
      </w:r>
      <w:hyperlink w:anchor="_bookmark107" w:history="1">
        <w:r>
          <w:rPr>
            <w:color w:val="0000FF"/>
            <w:u w:val="single" w:color="0000FF"/>
          </w:rPr>
          <w:t>May 2008</w:t>
        </w:r>
      </w:hyperlink>
      <w:r>
        <w:t>.</w:t>
      </w:r>
    </w:p>
    <w:p w14:paraId="56C09C86" w14:textId="77777777" w:rsidR="00E41FAD" w:rsidRDefault="00E41FAD" w:rsidP="00E41FAD">
      <w:pPr>
        <w:pStyle w:val="BodyText"/>
        <w:spacing w:before="2"/>
        <w:rPr>
          <w:sz w:val="23"/>
        </w:rPr>
      </w:pPr>
    </w:p>
    <w:p w14:paraId="3641B6D8" w14:textId="77777777" w:rsidR="00E41FAD" w:rsidRDefault="00E41FAD" w:rsidP="00E41FAD">
      <w:pPr>
        <w:pStyle w:val="Heading8"/>
        <w:spacing w:before="92"/>
      </w:pPr>
      <w:r>
        <w:rPr>
          <w:color w:val="4F81BC"/>
        </w:rPr>
        <w:t>Years valid:</w:t>
      </w:r>
    </w:p>
    <w:p w14:paraId="1210411B" w14:textId="77777777" w:rsidR="00E41FAD" w:rsidRDefault="00E41FAD" w:rsidP="00E41FAD">
      <w:pPr>
        <w:pStyle w:val="ListParagraph"/>
        <w:numPr>
          <w:ilvl w:val="1"/>
          <w:numId w:val="3"/>
        </w:numPr>
        <w:tabs>
          <w:tab w:val="left" w:pos="1440"/>
          <w:tab w:val="left" w:pos="1441"/>
        </w:tabs>
        <w:spacing w:before="163"/>
        <w:rPr>
          <w:rFonts w:ascii="Symbol" w:hAnsi="Symbol"/>
        </w:rPr>
      </w:pPr>
      <w:r>
        <w:t>1996 –</w:t>
      </w:r>
      <w:r>
        <w:rPr>
          <w:spacing w:val="-1"/>
        </w:rPr>
        <w:t xml:space="preserve"> </w:t>
      </w:r>
      <w:r>
        <w:t>present</w:t>
      </w:r>
    </w:p>
    <w:p w14:paraId="149E6AF9" w14:textId="77777777" w:rsidR="00E41FAD" w:rsidRDefault="00E41FAD" w:rsidP="00E41FAD">
      <w:pPr>
        <w:pStyle w:val="BodyText"/>
        <w:spacing w:before="5"/>
        <w:rPr>
          <w:sz w:val="34"/>
        </w:rPr>
      </w:pPr>
    </w:p>
    <w:p w14:paraId="1C7A94D9" w14:textId="77777777" w:rsidR="00E41FAD" w:rsidRDefault="00E41FAD" w:rsidP="00E41FAD">
      <w:pPr>
        <w:pStyle w:val="Heading8"/>
      </w:pPr>
      <w:r>
        <w:rPr>
          <w:color w:val="4F81BC"/>
        </w:rPr>
        <w:t>Used to Calculate other KSMs:</w:t>
      </w:r>
    </w:p>
    <w:p w14:paraId="25ACF9C3" w14:textId="77777777" w:rsidR="00E41FAD" w:rsidRDefault="00E41FAD" w:rsidP="00E41FAD">
      <w:pPr>
        <w:pStyle w:val="ListParagraph"/>
        <w:numPr>
          <w:ilvl w:val="1"/>
          <w:numId w:val="3"/>
        </w:numPr>
        <w:tabs>
          <w:tab w:val="left" w:pos="1440"/>
          <w:tab w:val="left" w:pos="1441"/>
        </w:tabs>
        <w:rPr>
          <w:rFonts w:ascii="Symbol" w:hAnsi="Symbol"/>
        </w:rPr>
      </w:pPr>
      <w:r>
        <w:t>None</w:t>
      </w:r>
    </w:p>
    <w:p w14:paraId="27DA2882" w14:textId="77F678C4" w:rsidR="00E41FAD" w:rsidRPr="00E41FAD" w:rsidRDefault="00E41FAD" w:rsidP="00E41FAD">
      <w:pPr>
        <w:pStyle w:val="ListParagraph"/>
        <w:numPr>
          <w:ilvl w:val="1"/>
          <w:numId w:val="3"/>
        </w:numPr>
        <w:tabs>
          <w:tab w:val="left" w:pos="1440"/>
          <w:tab w:val="left" w:pos="1441"/>
        </w:tabs>
        <w:spacing w:before="158" w:line="276" w:lineRule="auto"/>
        <w:ind w:right="787"/>
        <w:rPr>
          <w:rFonts w:ascii="Symbol" w:hAnsi="Symbol"/>
        </w:rPr>
        <w:sectPr w:rsidR="00E41FAD" w:rsidRPr="00E41FAD">
          <w:pgSz w:w="12240" w:h="15840"/>
          <w:pgMar w:top="640" w:right="0" w:bottom="960" w:left="0" w:header="0" w:footer="673" w:gutter="0"/>
          <w:cols w:space="720"/>
        </w:sectPr>
      </w:pPr>
    </w:p>
    <w:p w14:paraId="799E183E" w14:textId="78278A48" w:rsidR="008F3A43" w:rsidRPr="00E41FAD" w:rsidRDefault="00000000" w:rsidP="00E41FAD"/>
    <w:sectPr w:rsidR="008F3A43" w:rsidRPr="00E41F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F897" w14:textId="77777777" w:rsidR="00521016" w:rsidRDefault="00521016" w:rsidP="00E41FAD">
      <w:r>
        <w:separator/>
      </w:r>
    </w:p>
  </w:endnote>
  <w:endnote w:type="continuationSeparator" w:id="0">
    <w:p w14:paraId="1974BB26" w14:textId="77777777" w:rsidR="00521016" w:rsidRDefault="00521016" w:rsidP="00E4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05CF" w14:textId="77777777" w:rsidR="00521016" w:rsidRDefault="00521016" w:rsidP="00E41FAD">
      <w:r>
        <w:separator/>
      </w:r>
    </w:p>
  </w:footnote>
  <w:footnote w:type="continuationSeparator" w:id="0">
    <w:p w14:paraId="01FA6EF2" w14:textId="77777777" w:rsidR="00521016" w:rsidRDefault="00521016" w:rsidP="00E41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03C42"/>
    <w:multiLevelType w:val="multilevel"/>
    <w:tmpl w:val="F2343394"/>
    <w:lvl w:ilvl="0">
      <w:start w:val="4"/>
      <w:numFmt w:val="decimal"/>
      <w:lvlText w:val="%1"/>
      <w:lvlJc w:val="left"/>
      <w:pPr>
        <w:ind w:left="1212" w:hanging="505"/>
      </w:pPr>
      <w:rPr>
        <w:rFonts w:hint="default"/>
        <w:lang w:val="en-CA" w:eastAsia="en-CA" w:bidi="en-CA"/>
      </w:rPr>
    </w:lvl>
    <w:lvl w:ilvl="1">
      <w:start w:val="1"/>
      <w:numFmt w:val="decimal"/>
      <w:lvlText w:val="%1.%2."/>
      <w:lvlJc w:val="left"/>
      <w:pPr>
        <w:ind w:left="1212" w:hanging="505"/>
      </w:pPr>
      <w:rPr>
        <w:rFonts w:ascii="Arial" w:eastAsia="Arial" w:hAnsi="Arial" w:cs="Arial" w:hint="default"/>
        <w:b/>
        <w:bCs/>
        <w:color w:val="365F91"/>
        <w:spacing w:val="-1"/>
        <w:w w:val="99"/>
        <w:sz w:val="26"/>
        <w:szCs w:val="26"/>
        <w:lang w:val="en-CA" w:eastAsia="en-CA" w:bidi="en-CA"/>
      </w:rPr>
    </w:lvl>
    <w:lvl w:ilvl="2">
      <w:numFmt w:val="bullet"/>
      <w:lvlText w:val=""/>
      <w:lvlJc w:val="left"/>
      <w:pPr>
        <w:ind w:left="1428" w:hanging="361"/>
      </w:pPr>
      <w:rPr>
        <w:rFonts w:ascii="Symbol" w:eastAsia="Symbol" w:hAnsi="Symbol" w:cs="Symbol" w:hint="default"/>
        <w:w w:val="100"/>
        <w:sz w:val="22"/>
        <w:szCs w:val="22"/>
        <w:lang w:val="en-CA" w:eastAsia="en-CA" w:bidi="en-CA"/>
      </w:rPr>
    </w:lvl>
    <w:lvl w:ilvl="3">
      <w:numFmt w:val="bullet"/>
      <w:lvlText w:val="•"/>
      <w:lvlJc w:val="left"/>
      <w:pPr>
        <w:ind w:left="3828" w:hanging="361"/>
      </w:pPr>
      <w:rPr>
        <w:rFonts w:hint="default"/>
        <w:lang w:val="en-CA" w:eastAsia="en-CA" w:bidi="en-CA"/>
      </w:rPr>
    </w:lvl>
    <w:lvl w:ilvl="4">
      <w:numFmt w:val="bullet"/>
      <w:lvlText w:val="•"/>
      <w:lvlJc w:val="left"/>
      <w:pPr>
        <w:ind w:left="5028" w:hanging="361"/>
      </w:pPr>
      <w:rPr>
        <w:rFonts w:hint="default"/>
        <w:lang w:val="en-CA" w:eastAsia="en-CA" w:bidi="en-CA"/>
      </w:rPr>
    </w:lvl>
    <w:lvl w:ilvl="5">
      <w:numFmt w:val="bullet"/>
      <w:lvlText w:val="•"/>
      <w:lvlJc w:val="left"/>
      <w:pPr>
        <w:ind w:left="6228" w:hanging="361"/>
      </w:pPr>
      <w:rPr>
        <w:rFonts w:hint="default"/>
        <w:lang w:val="en-CA" w:eastAsia="en-CA" w:bidi="en-CA"/>
      </w:rPr>
    </w:lvl>
    <w:lvl w:ilvl="6">
      <w:numFmt w:val="bullet"/>
      <w:lvlText w:val="•"/>
      <w:lvlJc w:val="left"/>
      <w:pPr>
        <w:ind w:left="7428" w:hanging="361"/>
      </w:pPr>
      <w:rPr>
        <w:rFonts w:hint="default"/>
        <w:lang w:val="en-CA" w:eastAsia="en-CA" w:bidi="en-CA"/>
      </w:rPr>
    </w:lvl>
    <w:lvl w:ilvl="7">
      <w:numFmt w:val="bullet"/>
      <w:lvlText w:val="•"/>
      <w:lvlJc w:val="left"/>
      <w:pPr>
        <w:ind w:left="8628" w:hanging="361"/>
      </w:pPr>
      <w:rPr>
        <w:rFonts w:hint="default"/>
        <w:lang w:val="en-CA" w:eastAsia="en-CA" w:bidi="en-CA"/>
      </w:rPr>
    </w:lvl>
    <w:lvl w:ilvl="8">
      <w:numFmt w:val="bullet"/>
      <w:lvlText w:val="•"/>
      <w:lvlJc w:val="left"/>
      <w:pPr>
        <w:ind w:left="9828" w:hanging="361"/>
      </w:pPr>
      <w:rPr>
        <w:rFonts w:hint="default"/>
        <w:lang w:val="en-CA" w:eastAsia="en-CA" w:bidi="en-CA"/>
      </w:rPr>
    </w:lvl>
  </w:abstractNum>
  <w:abstractNum w:abstractNumId="1" w15:restartNumberingAfterBreak="0">
    <w:nsid w:val="61E85199"/>
    <w:multiLevelType w:val="hybridMultilevel"/>
    <w:tmpl w:val="319A58E6"/>
    <w:lvl w:ilvl="0" w:tplc="FB9E86B0">
      <w:start w:val="1"/>
      <w:numFmt w:val="decimal"/>
      <w:lvlText w:val="%1."/>
      <w:lvlJc w:val="left"/>
      <w:pPr>
        <w:ind w:left="1008" w:hanging="288"/>
      </w:pPr>
      <w:rPr>
        <w:rFonts w:ascii="Arial" w:eastAsia="Arial" w:hAnsi="Arial" w:cs="Arial" w:hint="default"/>
        <w:b/>
        <w:bCs/>
        <w:color w:val="365F91"/>
        <w:spacing w:val="-1"/>
        <w:w w:val="99"/>
        <w:sz w:val="26"/>
        <w:szCs w:val="26"/>
        <w:lang w:val="en-CA" w:eastAsia="en-CA" w:bidi="en-CA"/>
      </w:rPr>
    </w:lvl>
    <w:lvl w:ilvl="1" w:tplc="7D6400BE">
      <w:numFmt w:val="bullet"/>
      <w:lvlText w:val=""/>
      <w:lvlJc w:val="left"/>
      <w:pPr>
        <w:ind w:left="1440" w:hanging="361"/>
      </w:pPr>
      <w:rPr>
        <w:rFonts w:hint="default"/>
        <w:w w:val="100"/>
        <w:lang w:val="en-CA" w:eastAsia="en-CA" w:bidi="en-CA"/>
      </w:rPr>
    </w:lvl>
    <w:lvl w:ilvl="2" w:tplc="C64CFB7C">
      <w:numFmt w:val="bullet"/>
      <w:lvlText w:val="•"/>
      <w:lvlJc w:val="left"/>
      <w:pPr>
        <w:ind w:left="2640" w:hanging="361"/>
      </w:pPr>
      <w:rPr>
        <w:rFonts w:hint="default"/>
        <w:lang w:val="en-CA" w:eastAsia="en-CA" w:bidi="en-CA"/>
      </w:rPr>
    </w:lvl>
    <w:lvl w:ilvl="3" w:tplc="903A6886">
      <w:numFmt w:val="bullet"/>
      <w:lvlText w:val="•"/>
      <w:lvlJc w:val="left"/>
      <w:pPr>
        <w:ind w:left="3840" w:hanging="361"/>
      </w:pPr>
      <w:rPr>
        <w:rFonts w:hint="default"/>
        <w:lang w:val="en-CA" w:eastAsia="en-CA" w:bidi="en-CA"/>
      </w:rPr>
    </w:lvl>
    <w:lvl w:ilvl="4" w:tplc="69B00B3C">
      <w:numFmt w:val="bullet"/>
      <w:lvlText w:val="•"/>
      <w:lvlJc w:val="left"/>
      <w:pPr>
        <w:ind w:left="5040" w:hanging="361"/>
      </w:pPr>
      <w:rPr>
        <w:rFonts w:hint="default"/>
        <w:lang w:val="en-CA" w:eastAsia="en-CA" w:bidi="en-CA"/>
      </w:rPr>
    </w:lvl>
    <w:lvl w:ilvl="5" w:tplc="7CB0E416">
      <w:numFmt w:val="bullet"/>
      <w:lvlText w:val="•"/>
      <w:lvlJc w:val="left"/>
      <w:pPr>
        <w:ind w:left="6240" w:hanging="361"/>
      </w:pPr>
      <w:rPr>
        <w:rFonts w:hint="default"/>
        <w:lang w:val="en-CA" w:eastAsia="en-CA" w:bidi="en-CA"/>
      </w:rPr>
    </w:lvl>
    <w:lvl w:ilvl="6" w:tplc="A0FC8242">
      <w:numFmt w:val="bullet"/>
      <w:lvlText w:val="•"/>
      <w:lvlJc w:val="left"/>
      <w:pPr>
        <w:ind w:left="7440" w:hanging="361"/>
      </w:pPr>
      <w:rPr>
        <w:rFonts w:hint="default"/>
        <w:lang w:val="en-CA" w:eastAsia="en-CA" w:bidi="en-CA"/>
      </w:rPr>
    </w:lvl>
    <w:lvl w:ilvl="7" w:tplc="C6B0F3D4">
      <w:numFmt w:val="bullet"/>
      <w:lvlText w:val="•"/>
      <w:lvlJc w:val="left"/>
      <w:pPr>
        <w:ind w:left="8640" w:hanging="361"/>
      </w:pPr>
      <w:rPr>
        <w:rFonts w:hint="default"/>
        <w:lang w:val="en-CA" w:eastAsia="en-CA" w:bidi="en-CA"/>
      </w:rPr>
    </w:lvl>
    <w:lvl w:ilvl="8" w:tplc="D1B48544">
      <w:numFmt w:val="bullet"/>
      <w:lvlText w:val="•"/>
      <w:lvlJc w:val="left"/>
      <w:pPr>
        <w:ind w:left="9840" w:hanging="361"/>
      </w:pPr>
      <w:rPr>
        <w:rFonts w:hint="default"/>
        <w:lang w:val="en-CA" w:eastAsia="en-CA" w:bidi="en-CA"/>
      </w:rPr>
    </w:lvl>
  </w:abstractNum>
  <w:abstractNum w:abstractNumId="2" w15:restartNumberingAfterBreak="0">
    <w:nsid w:val="757975B3"/>
    <w:multiLevelType w:val="multilevel"/>
    <w:tmpl w:val="5238A68C"/>
    <w:lvl w:ilvl="0">
      <w:start w:val="4"/>
      <w:numFmt w:val="decimal"/>
      <w:lvlText w:val="%1"/>
      <w:lvlJc w:val="left"/>
      <w:pPr>
        <w:ind w:left="1224" w:hanging="505"/>
        <w:jc w:val="left"/>
      </w:pPr>
      <w:rPr>
        <w:rFonts w:hint="default"/>
        <w:lang w:val="en-CA" w:eastAsia="en-CA" w:bidi="en-CA"/>
      </w:rPr>
    </w:lvl>
    <w:lvl w:ilvl="1">
      <w:start w:val="1"/>
      <w:numFmt w:val="decimal"/>
      <w:lvlText w:val="%1.%2."/>
      <w:lvlJc w:val="left"/>
      <w:pPr>
        <w:ind w:left="788" w:hanging="505"/>
        <w:jc w:val="left"/>
      </w:pPr>
      <w:rPr>
        <w:rFonts w:ascii="Arial" w:eastAsia="Arial" w:hAnsi="Arial" w:cs="Arial" w:hint="default"/>
        <w:b/>
        <w:bCs/>
        <w:color w:val="365F91"/>
        <w:spacing w:val="-1"/>
        <w:w w:val="99"/>
        <w:sz w:val="26"/>
        <w:szCs w:val="26"/>
        <w:lang w:val="en-CA" w:eastAsia="en-CA" w:bidi="en-CA"/>
      </w:rPr>
    </w:lvl>
    <w:lvl w:ilvl="2">
      <w:numFmt w:val="bullet"/>
      <w:lvlText w:val=""/>
      <w:lvlJc w:val="left"/>
      <w:pPr>
        <w:ind w:left="1440" w:hanging="361"/>
      </w:pPr>
      <w:rPr>
        <w:rFonts w:ascii="Symbol" w:eastAsia="Symbol" w:hAnsi="Symbol" w:cs="Symbol" w:hint="default"/>
        <w:w w:val="100"/>
        <w:sz w:val="22"/>
        <w:szCs w:val="22"/>
        <w:lang w:val="en-CA" w:eastAsia="en-CA" w:bidi="en-CA"/>
      </w:rPr>
    </w:lvl>
    <w:lvl w:ilvl="3">
      <w:numFmt w:val="bullet"/>
      <w:lvlText w:val="•"/>
      <w:lvlJc w:val="left"/>
      <w:pPr>
        <w:ind w:left="3840" w:hanging="361"/>
      </w:pPr>
      <w:rPr>
        <w:rFonts w:hint="default"/>
        <w:lang w:val="en-CA" w:eastAsia="en-CA" w:bidi="en-CA"/>
      </w:rPr>
    </w:lvl>
    <w:lvl w:ilvl="4">
      <w:numFmt w:val="bullet"/>
      <w:lvlText w:val="•"/>
      <w:lvlJc w:val="left"/>
      <w:pPr>
        <w:ind w:left="5040" w:hanging="361"/>
      </w:pPr>
      <w:rPr>
        <w:rFonts w:hint="default"/>
        <w:lang w:val="en-CA" w:eastAsia="en-CA" w:bidi="en-CA"/>
      </w:rPr>
    </w:lvl>
    <w:lvl w:ilvl="5">
      <w:numFmt w:val="bullet"/>
      <w:lvlText w:val="•"/>
      <w:lvlJc w:val="left"/>
      <w:pPr>
        <w:ind w:left="6240" w:hanging="361"/>
      </w:pPr>
      <w:rPr>
        <w:rFonts w:hint="default"/>
        <w:lang w:val="en-CA" w:eastAsia="en-CA" w:bidi="en-CA"/>
      </w:rPr>
    </w:lvl>
    <w:lvl w:ilvl="6">
      <w:numFmt w:val="bullet"/>
      <w:lvlText w:val="•"/>
      <w:lvlJc w:val="left"/>
      <w:pPr>
        <w:ind w:left="7440" w:hanging="361"/>
      </w:pPr>
      <w:rPr>
        <w:rFonts w:hint="default"/>
        <w:lang w:val="en-CA" w:eastAsia="en-CA" w:bidi="en-CA"/>
      </w:rPr>
    </w:lvl>
    <w:lvl w:ilvl="7">
      <w:numFmt w:val="bullet"/>
      <w:lvlText w:val="•"/>
      <w:lvlJc w:val="left"/>
      <w:pPr>
        <w:ind w:left="8640" w:hanging="361"/>
      </w:pPr>
      <w:rPr>
        <w:rFonts w:hint="default"/>
        <w:lang w:val="en-CA" w:eastAsia="en-CA" w:bidi="en-CA"/>
      </w:rPr>
    </w:lvl>
    <w:lvl w:ilvl="8">
      <w:numFmt w:val="bullet"/>
      <w:lvlText w:val="•"/>
      <w:lvlJc w:val="left"/>
      <w:pPr>
        <w:ind w:left="9840" w:hanging="361"/>
      </w:pPr>
      <w:rPr>
        <w:rFonts w:hint="default"/>
        <w:lang w:val="en-CA" w:eastAsia="en-CA" w:bidi="en-CA"/>
      </w:rPr>
    </w:lvl>
  </w:abstractNum>
  <w:num w:numId="1" w16cid:durableId="2024239239">
    <w:abstractNumId w:val="2"/>
  </w:num>
  <w:num w:numId="2" w16cid:durableId="1335305544">
    <w:abstractNumId w:val="0"/>
  </w:num>
  <w:num w:numId="3" w16cid:durableId="18602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AD"/>
    <w:rsid w:val="00521016"/>
    <w:rsid w:val="007A2F90"/>
    <w:rsid w:val="00D55ABD"/>
    <w:rsid w:val="00D83975"/>
    <w:rsid w:val="00E41FAD"/>
    <w:rsid w:val="00F55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1326"/>
  <w15:chartTrackingRefBased/>
  <w15:docId w15:val="{A7CF2493-5444-466B-AF2E-41CDBF2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AD"/>
    <w:pPr>
      <w:widowControl w:val="0"/>
      <w:autoSpaceDE w:val="0"/>
      <w:autoSpaceDN w:val="0"/>
      <w:spacing w:after="0" w:line="240" w:lineRule="auto"/>
    </w:pPr>
    <w:rPr>
      <w:rFonts w:ascii="Arial" w:eastAsia="Arial" w:hAnsi="Arial" w:cs="Arial"/>
      <w:lang w:eastAsia="en-CA" w:bidi="en-CA"/>
    </w:rPr>
  </w:style>
  <w:style w:type="paragraph" w:styleId="Heading6">
    <w:name w:val="heading 6"/>
    <w:basedOn w:val="Normal"/>
    <w:link w:val="Heading6Char"/>
    <w:uiPriority w:val="9"/>
    <w:unhideWhenUsed/>
    <w:qFormat/>
    <w:rsid w:val="00E41FAD"/>
    <w:pPr>
      <w:spacing w:before="78"/>
      <w:ind w:left="720"/>
      <w:outlineLvl w:val="5"/>
    </w:pPr>
    <w:rPr>
      <w:b/>
      <w:bCs/>
      <w:sz w:val="26"/>
      <w:szCs w:val="26"/>
    </w:rPr>
  </w:style>
  <w:style w:type="paragraph" w:styleId="Heading8">
    <w:name w:val="heading 8"/>
    <w:basedOn w:val="Normal"/>
    <w:link w:val="Heading8Char"/>
    <w:uiPriority w:val="1"/>
    <w:qFormat/>
    <w:rsid w:val="00E41FAD"/>
    <w:pPr>
      <w:ind w:left="72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41FAD"/>
    <w:rPr>
      <w:rFonts w:ascii="Arial" w:eastAsia="Arial" w:hAnsi="Arial" w:cs="Arial"/>
      <w:b/>
      <w:bCs/>
      <w:sz w:val="26"/>
      <w:szCs w:val="26"/>
      <w:lang w:eastAsia="en-CA" w:bidi="en-CA"/>
    </w:rPr>
  </w:style>
  <w:style w:type="character" w:customStyle="1" w:styleId="Heading8Char">
    <w:name w:val="Heading 8 Char"/>
    <w:basedOn w:val="DefaultParagraphFont"/>
    <w:link w:val="Heading8"/>
    <w:uiPriority w:val="1"/>
    <w:rsid w:val="00E41FAD"/>
    <w:rPr>
      <w:rFonts w:ascii="Arial" w:eastAsia="Arial" w:hAnsi="Arial" w:cs="Arial"/>
      <w:b/>
      <w:bCs/>
      <w:sz w:val="24"/>
      <w:szCs w:val="24"/>
      <w:lang w:eastAsia="en-CA" w:bidi="en-CA"/>
    </w:rPr>
  </w:style>
  <w:style w:type="paragraph" w:styleId="BodyText">
    <w:name w:val="Body Text"/>
    <w:basedOn w:val="Normal"/>
    <w:link w:val="BodyTextChar"/>
    <w:uiPriority w:val="1"/>
    <w:qFormat/>
    <w:rsid w:val="00E41FAD"/>
  </w:style>
  <w:style w:type="character" w:customStyle="1" w:styleId="BodyTextChar">
    <w:name w:val="Body Text Char"/>
    <w:basedOn w:val="DefaultParagraphFont"/>
    <w:link w:val="BodyText"/>
    <w:uiPriority w:val="1"/>
    <w:rsid w:val="00E41FAD"/>
    <w:rPr>
      <w:rFonts w:ascii="Arial" w:eastAsia="Arial" w:hAnsi="Arial" w:cs="Arial"/>
      <w:lang w:eastAsia="en-CA" w:bidi="en-CA"/>
    </w:rPr>
  </w:style>
  <w:style w:type="paragraph" w:styleId="ListParagraph">
    <w:name w:val="List Paragraph"/>
    <w:basedOn w:val="Normal"/>
    <w:uiPriority w:val="1"/>
    <w:qFormat/>
    <w:rsid w:val="00E41FAD"/>
    <w:pPr>
      <w:spacing w:before="160"/>
      <w:ind w:left="1440" w:hanging="361"/>
    </w:pPr>
  </w:style>
  <w:style w:type="paragraph" w:styleId="Header">
    <w:name w:val="header"/>
    <w:basedOn w:val="Normal"/>
    <w:link w:val="HeaderChar"/>
    <w:uiPriority w:val="99"/>
    <w:unhideWhenUsed/>
    <w:rsid w:val="00E41FAD"/>
    <w:pPr>
      <w:tabs>
        <w:tab w:val="center" w:pos="4680"/>
        <w:tab w:val="right" w:pos="9360"/>
      </w:tabs>
    </w:pPr>
  </w:style>
  <w:style w:type="character" w:customStyle="1" w:styleId="HeaderChar">
    <w:name w:val="Header Char"/>
    <w:basedOn w:val="DefaultParagraphFont"/>
    <w:link w:val="Header"/>
    <w:uiPriority w:val="99"/>
    <w:rsid w:val="00E41FAD"/>
    <w:rPr>
      <w:rFonts w:ascii="Arial" w:eastAsia="Arial" w:hAnsi="Arial" w:cs="Arial"/>
      <w:lang w:eastAsia="en-CA" w:bidi="en-CA"/>
    </w:rPr>
  </w:style>
  <w:style w:type="paragraph" w:styleId="Footer">
    <w:name w:val="footer"/>
    <w:basedOn w:val="Normal"/>
    <w:link w:val="FooterChar"/>
    <w:uiPriority w:val="99"/>
    <w:unhideWhenUsed/>
    <w:rsid w:val="00E41FAD"/>
    <w:pPr>
      <w:tabs>
        <w:tab w:val="center" w:pos="4680"/>
        <w:tab w:val="right" w:pos="9360"/>
      </w:tabs>
    </w:pPr>
  </w:style>
  <w:style w:type="character" w:customStyle="1" w:styleId="FooterChar">
    <w:name w:val="Footer Char"/>
    <w:basedOn w:val="DefaultParagraphFont"/>
    <w:link w:val="Footer"/>
    <w:uiPriority w:val="99"/>
    <w:rsid w:val="00E41FAD"/>
    <w:rPr>
      <w:rFonts w:ascii="Arial" w:eastAsia="Arial" w:hAnsi="Arial" w:cs="Arial"/>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c.awcbc.org/KsmReporting/KsmSubmissionReport/4" TargetMode="External"/><Relationship Id="rId3" Type="http://schemas.openxmlformats.org/officeDocument/2006/relationships/settings" Target="settings.xml"/><Relationship Id="rId7" Type="http://schemas.openxmlformats.org/officeDocument/2006/relationships/hyperlink" Target="https://aoc.awcbc.org/KsmReporting/KsmSubmissionReport/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Jilal Jemal</dc:creator>
  <cp:keywords/>
  <dc:description/>
  <cp:lastModifiedBy>Jilal Jemal</cp:lastModifiedBy>
  <cp:revision>2</cp:revision>
  <dcterms:created xsi:type="dcterms:W3CDTF">2022-11-16T22:50:00Z</dcterms:created>
  <dcterms:modified xsi:type="dcterms:W3CDTF">2022-11-16T23:14:00Z</dcterms:modified>
</cp:coreProperties>
</file>