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2D" w:rsidRDefault="00CF3D2D" w:rsidP="00CF3D2D"/>
    <w:p w:rsidR="00D9474B" w:rsidRDefault="00D9474B" w:rsidP="00CF3D2D">
      <w:pPr>
        <w:jc w:val="center"/>
        <w:rPr>
          <w:rFonts w:ascii="Arial" w:hAnsi="Arial" w:cs="Arial"/>
          <w:b/>
        </w:rPr>
      </w:pPr>
      <w:r w:rsidRPr="00D9474B">
        <w:rPr>
          <w:rFonts w:ascii="Arial" w:hAnsi="Arial" w:cs="Arial"/>
          <w:b/>
          <w:noProof/>
          <w:lang w:eastAsia="en-CA"/>
        </w:rPr>
        <w:drawing>
          <wp:inline distT="0" distB="0" distL="0" distR="0">
            <wp:extent cx="9634855" cy="1388745"/>
            <wp:effectExtent l="19050" t="0" r="4445" b="0"/>
            <wp:docPr id="1" name="Picture 1" descr="awcbc_logo2010_header_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cbc_logo2010_header_vf"/>
                    <pic:cNvPicPr>
                      <a:picLocks noChangeAspect="1" noChangeArrowheads="1"/>
                    </pic:cNvPicPr>
                  </pic:nvPicPr>
                  <pic:blipFill>
                    <a:blip r:embed="rId5" cstate="print"/>
                    <a:srcRect b="86891"/>
                    <a:stretch>
                      <a:fillRect/>
                    </a:stretch>
                  </pic:blipFill>
                  <pic:spPr bwMode="auto">
                    <a:xfrm>
                      <a:off x="0" y="0"/>
                      <a:ext cx="9634855" cy="1388745"/>
                    </a:xfrm>
                    <a:prstGeom prst="rect">
                      <a:avLst/>
                    </a:prstGeom>
                    <a:noFill/>
                    <a:ln w="9525">
                      <a:noFill/>
                      <a:miter lim="800000"/>
                      <a:headEnd/>
                      <a:tailEnd/>
                    </a:ln>
                  </pic:spPr>
                </pic:pic>
              </a:graphicData>
            </a:graphic>
          </wp:inline>
        </w:drawing>
      </w:r>
    </w:p>
    <w:p w:rsidR="00D9474B" w:rsidRDefault="00D9474B" w:rsidP="00D9474B">
      <w:pPr>
        <w:rPr>
          <w:rFonts w:ascii="Arial" w:hAnsi="Arial" w:cs="Arial"/>
          <w:b/>
        </w:rPr>
      </w:pPr>
    </w:p>
    <w:p w:rsidR="00D9474B" w:rsidRDefault="00D9474B" w:rsidP="00CF3D2D">
      <w:pPr>
        <w:jc w:val="center"/>
        <w:rPr>
          <w:rFonts w:ascii="Arial" w:hAnsi="Arial" w:cs="Arial"/>
          <w:b/>
        </w:rPr>
      </w:pPr>
    </w:p>
    <w:p w:rsidR="00D9474B" w:rsidRDefault="00D9474B" w:rsidP="00CF3D2D">
      <w:pPr>
        <w:jc w:val="center"/>
        <w:rPr>
          <w:rFonts w:ascii="Arial" w:hAnsi="Arial" w:cs="Arial"/>
          <w:b/>
        </w:rPr>
      </w:pPr>
    </w:p>
    <w:p w:rsidR="00D9474B" w:rsidRDefault="00D9474B" w:rsidP="00CF3D2D">
      <w:pPr>
        <w:jc w:val="center"/>
        <w:rPr>
          <w:rFonts w:ascii="Arial" w:hAnsi="Arial" w:cs="Arial"/>
          <w:b/>
        </w:rPr>
      </w:pPr>
    </w:p>
    <w:p w:rsidR="00CF3D2D" w:rsidRDefault="00CF3D2D" w:rsidP="00CF3D2D">
      <w:pPr>
        <w:jc w:val="center"/>
        <w:rPr>
          <w:rFonts w:ascii="Arial" w:hAnsi="Arial" w:cs="Arial"/>
          <w:b/>
        </w:rPr>
      </w:pPr>
      <w:r>
        <w:rPr>
          <w:rFonts w:ascii="Arial" w:hAnsi="Arial" w:cs="Arial"/>
          <w:b/>
        </w:rPr>
        <w:t>Jurisdictional Update Report</w:t>
      </w:r>
    </w:p>
    <w:p w:rsidR="00CF3D2D" w:rsidRDefault="00CF3D2D" w:rsidP="00CF3D2D">
      <w:pPr>
        <w:jc w:val="center"/>
        <w:rPr>
          <w:rFonts w:ascii="Arial" w:hAnsi="Arial" w:cs="Arial"/>
          <w:b/>
        </w:rPr>
      </w:pPr>
    </w:p>
    <w:p w:rsidR="00CF3D2D" w:rsidRPr="001D7413" w:rsidRDefault="00CF3D2D" w:rsidP="00CF3D2D">
      <w:pPr>
        <w:ind w:left="2127"/>
        <w:rPr>
          <w:rFonts w:ascii="Arial" w:hAnsi="Arial" w:cs="Arial"/>
        </w:rPr>
      </w:pPr>
      <w:r w:rsidRPr="00932158">
        <w:rPr>
          <w:rFonts w:ascii="Arial" w:hAnsi="Arial" w:cs="Arial"/>
          <w:b/>
        </w:rPr>
        <w:t>Date:</w:t>
      </w:r>
      <w:r>
        <w:rPr>
          <w:rFonts w:ascii="Arial" w:hAnsi="Arial" w:cs="Arial"/>
          <w:b/>
        </w:rPr>
        <w:t xml:space="preserve"> </w:t>
      </w:r>
      <w:r w:rsidRPr="001D7413">
        <w:rPr>
          <w:rFonts w:ascii="Arial" w:hAnsi="Arial" w:cs="Arial"/>
        </w:rPr>
        <w:t>April, 2014</w:t>
      </w:r>
    </w:p>
    <w:p w:rsidR="00CF3D2D" w:rsidRPr="00932158" w:rsidRDefault="00CF3D2D" w:rsidP="00CF3D2D">
      <w:pPr>
        <w:ind w:left="2127"/>
        <w:rPr>
          <w:rFonts w:ascii="Arial" w:hAnsi="Arial" w:cs="Arial"/>
          <w:b/>
        </w:rPr>
      </w:pPr>
    </w:p>
    <w:p w:rsidR="00CF3D2D" w:rsidRDefault="00CF3D2D" w:rsidP="00CF3D2D">
      <w:pPr>
        <w:ind w:left="2127"/>
        <w:rPr>
          <w:rFonts w:ascii="Arial" w:hAnsi="Arial" w:cs="Arial"/>
        </w:rPr>
      </w:pPr>
      <w:r w:rsidRPr="00932158">
        <w:rPr>
          <w:rFonts w:ascii="Arial" w:hAnsi="Arial" w:cs="Arial"/>
          <w:b/>
        </w:rPr>
        <w:t>To:</w:t>
      </w:r>
      <w:r w:rsidRPr="00932158">
        <w:rPr>
          <w:rFonts w:ascii="Arial" w:hAnsi="Arial" w:cs="Arial"/>
        </w:rPr>
        <w:t xml:space="preserve"> </w:t>
      </w:r>
      <w:r>
        <w:rPr>
          <w:rFonts w:ascii="Arial" w:hAnsi="Arial" w:cs="Arial"/>
        </w:rPr>
        <w:t>Compensation and Benefits Committee</w:t>
      </w:r>
      <w:r w:rsidRPr="00932158">
        <w:rPr>
          <w:rFonts w:ascii="Arial" w:hAnsi="Arial" w:cs="Arial"/>
        </w:rPr>
        <w:tab/>
      </w:r>
      <w:r w:rsidRPr="00932158">
        <w:rPr>
          <w:rFonts w:ascii="Arial" w:hAnsi="Arial" w:cs="Arial"/>
        </w:rPr>
        <w:tab/>
      </w:r>
      <w:r w:rsidRPr="00932158">
        <w:rPr>
          <w:rFonts w:ascii="Arial" w:hAnsi="Arial" w:cs="Arial"/>
        </w:rPr>
        <w:tab/>
      </w:r>
      <w:r w:rsidRPr="00932158">
        <w:rPr>
          <w:rFonts w:ascii="Arial" w:hAnsi="Arial" w:cs="Arial"/>
          <w:b/>
        </w:rPr>
        <w:t xml:space="preserve">From: </w:t>
      </w:r>
      <w:r w:rsidR="00D9474B">
        <w:rPr>
          <w:rFonts w:ascii="Arial" w:hAnsi="Arial" w:cs="Arial"/>
          <w:b/>
        </w:rPr>
        <w:t>Yukon</w:t>
      </w:r>
    </w:p>
    <w:p w:rsidR="00CF3D2D" w:rsidRDefault="00CF3D2D" w:rsidP="00CF3D2D">
      <w:pPr>
        <w:ind w:left="2127"/>
        <w:rPr>
          <w:rFonts w:ascii="Arial" w:hAnsi="Arial" w:cs="Arial"/>
        </w:rPr>
      </w:pPr>
    </w:p>
    <w:p w:rsidR="00CF3D2D" w:rsidRPr="00932158" w:rsidRDefault="00CF3D2D" w:rsidP="00CF3D2D">
      <w:pPr>
        <w:ind w:left="2127"/>
        <w:rPr>
          <w:rFonts w:ascii="Arial" w:hAnsi="Arial" w:cs="Arial"/>
        </w:rPr>
      </w:pPr>
    </w:p>
    <w:p w:rsidR="00CF3D2D" w:rsidRDefault="00CF3D2D" w:rsidP="00CF3D2D">
      <w:pPr>
        <w:ind w:left="2127"/>
      </w:pPr>
      <w:r w:rsidRPr="00932158">
        <w:rPr>
          <w:rFonts w:ascii="Arial" w:hAnsi="Arial" w:cs="Arial"/>
        </w:rPr>
        <w:tab/>
      </w:r>
      <w:r>
        <w:rPr>
          <w:rFonts w:ascii="Arial" w:hAnsi="Arial" w:cs="Arial"/>
          <w:b/>
        </w:rPr>
        <w:t>Committee Member(s)</w:t>
      </w:r>
      <w:r w:rsidRPr="00932158">
        <w:rPr>
          <w:rFonts w:ascii="Arial" w:hAnsi="Arial" w:cs="Arial"/>
          <w:b/>
        </w:rPr>
        <w:t>:</w:t>
      </w:r>
      <w:r w:rsidRPr="00932158">
        <w:rPr>
          <w:rFonts w:ascii="Arial" w:hAnsi="Arial" w:cs="Arial"/>
        </w:rPr>
        <w:t xml:space="preserve"> </w:t>
      </w:r>
      <w:r w:rsidR="00D9474B">
        <w:rPr>
          <w:rFonts w:ascii="Arial" w:hAnsi="Arial" w:cs="Arial"/>
        </w:rPr>
        <w:t>Karen</w:t>
      </w:r>
      <w:r>
        <w:rPr>
          <w:rFonts w:ascii="Arial" w:hAnsi="Arial" w:cs="Arial"/>
        </w:rPr>
        <w:t xml:space="preserve"> </w:t>
      </w:r>
      <w:proofErr w:type="spellStart"/>
      <w:r w:rsidR="00D9474B">
        <w:rPr>
          <w:rFonts w:ascii="Arial" w:hAnsi="Arial" w:cs="Arial"/>
        </w:rPr>
        <w:t>Branigan</w:t>
      </w:r>
      <w:proofErr w:type="spellEnd"/>
    </w:p>
    <w:p w:rsidR="00CF3D2D" w:rsidRDefault="00CF3D2D" w:rsidP="00CF3D2D">
      <w:pPr>
        <w:jc w:val="center"/>
      </w:pPr>
    </w:p>
    <w:p w:rsidR="00CF3D2D" w:rsidRDefault="00CF3D2D" w:rsidP="00CF3D2D">
      <w:pPr>
        <w:jc w:val="cente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3008"/>
      </w:tblGrid>
      <w:tr w:rsidR="00CF3D2D" w:rsidRPr="00932158" w:rsidTr="007A4A69">
        <w:trPr>
          <w:trHeight w:val="701"/>
        </w:trPr>
        <w:tc>
          <w:tcPr>
            <w:tcW w:w="2160" w:type="dxa"/>
            <w:shd w:val="clear" w:color="auto" w:fill="F5ECBE"/>
            <w:vAlign w:val="center"/>
          </w:tcPr>
          <w:p w:rsidR="00CF3D2D" w:rsidRPr="00932158" w:rsidRDefault="00CF3D2D" w:rsidP="007A4A69">
            <w:pPr>
              <w:rPr>
                <w:rFonts w:ascii="Arial" w:hAnsi="Arial" w:cs="Arial"/>
                <w:sz w:val="20"/>
                <w:szCs w:val="20"/>
              </w:rPr>
            </w:pPr>
            <w:r w:rsidRPr="00932158">
              <w:rPr>
                <w:rFonts w:ascii="Arial" w:hAnsi="Arial" w:cs="Arial"/>
                <w:b/>
                <w:sz w:val="20"/>
                <w:szCs w:val="20"/>
              </w:rPr>
              <w:t>Committee Mandate</w:t>
            </w:r>
          </w:p>
        </w:tc>
        <w:tc>
          <w:tcPr>
            <w:tcW w:w="13008" w:type="dxa"/>
            <w:shd w:val="clear" w:color="auto" w:fill="F5ECBE"/>
            <w:vAlign w:val="center"/>
          </w:tcPr>
          <w:p w:rsidR="00CF3D2D" w:rsidRPr="00036DBB" w:rsidRDefault="00CF3D2D" w:rsidP="007A4A69">
            <w:pPr>
              <w:rPr>
                <w:rFonts w:ascii="Vani" w:hAnsi="Vani" w:cs="Vani"/>
                <w:i/>
                <w:sz w:val="18"/>
                <w:szCs w:val="18"/>
              </w:rPr>
            </w:pPr>
            <w:r w:rsidRPr="00036DBB">
              <w:rPr>
                <w:rFonts w:ascii="Vani" w:hAnsi="Vani" w:cs="Vani"/>
                <w:i/>
                <w:sz w:val="18"/>
                <w:szCs w:val="18"/>
              </w:rPr>
              <w:t xml:space="preserve"> </w:t>
            </w:r>
          </w:p>
        </w:tc>
      </w:tr>
      <w:tr w:rsidR="00CF3D2D" w:rsidRPr="007252EB" w:rsidTr="007A4A69">
        <w:trPr>
          <w:trHeight w:val="580"/>
        </w:trPr>
        <w:tc>
          <w:tcPr>
            <w:tcW w:w="15168" w:type="dxa"/>
            <w:gridSpan w:val="2"/>
            <w:vAlign w:val="center"/>
          </w:tcPr>
          <w:p w:rsidR="00CF3D2D" w:rsidRPr="007252EB" w:rsidRDefault="00CF3D2D" w:rsidP="007A4A69">
            <w:pPr>
              <w:rPr>
                <w:rFonts w:ascii="Arial" w:hAnsi="Arial" w:cs="Arial"/>
                <w:sz w:val="20"/>
                <w:szCs w:val="20"/>
              </w:rPr>
            </w:pPr>
            <w:r>
              <w:rPr>
                <w:rFonts w:ascii="Arial" w:hAnsi="Arial" w:cs="Arial"/>
                <w:color w:val="000000"/>
                <w:sz w:val="20"/>
                <w:szCs w:val="20"/>
              </w:rPr>
              <w:t xml:space="preserve">The </w:t>
            </w:r>
            <w:smartTag w:uri="urn:schemas-microsoft-com:office:smarttags" w:element="PersonName">
              <w:r>
                <w:rPr>
                  <w:rFonts w:ascii="Arial" w:hAnsi="Arial" w:cs="Arial"/>
                  <w:color w:val="000000"/>
                  <w:sz w:val="20"/>
                  <w:szCs w:val="20"/>
                </w:rPr>
                <w:t xml:space="preserve">AWCBC </w:t>
              </w:r>
            </w:smartTag>
            <w:r>
              <w:rPr>
                <w:rFonts w:ascii="Arial" w:hAnsi="Arial" w:cs="Arial"/>
                <w:color w:val="000000"/>
                <w:sz w:val="20"/>
                <w:szCs w:val="20"/>
              </w:rPr>
              <w:t>Compensation &amp; Benefits Committee works collaboratively to share experiences, identify and improve claim-related outcomes and identify and action opportunities around operational, research and policy development initiatives.</w:t>
            </w:r>
          </w:p>
        </w:tc>
      </w:tr>
      <w:tr w:rsidR="00CF3D2D" w:rsidRPr="00932158" w:rsidTr="007A4A69">
        <w:trPr>
          <w:trHeight w:val="485"/>
        </w:trPr>
        <w:tc>
          <w:tcPr>
            <w:tcW w:w="2160" w:type="dxa"/>
            <w:tcBorders>
              <w:bottom w:val="single" w:sz="4" w:space="0" w:color="auto"/>
            </w:tcBorders>
            <w:shd w:val="clear" w:color="auto" w:fill="F5ECBE"/>
            <w:vAlign w:val="center"/>
          </w:tcPr>
          <w:p w:rsidR="00CF3D2D" w:rsidRPr="00932158" w:rsidRDefault="00CF3D2D" w:rsidP="007A4A69">
            <w:pPr>
              <w:rPr>
                <w:rFonts w:ascii="Arial" w:hAnsi="Arial" w:cs="Arial"/>
                <w:sz w:val="20"/>
                <w:szCs w:val="20"/>
              </w:rPr>
            </w:pPr>
            <w:r w:rsidRPr="00932158">
              <w:rPr>
                <w:rFonts w:ascii="Arial" w:hAnsi="Arial" w:cs="Arial"/>
                <w:b/>
                <w:sz w:val="20"/>
                <w:szCs w:val="20"/>
              </w:rPr>
              <w:t>Goals</w:t>
            </w:r>
          </w:p>
        </w:tc>
        <w:tc>
          <w:tcPr>
            <w:tcW w:w="13008" w:type="dxa"/>
            <w:tcBorders>
              <w:bottom w:val="single" w:sz="4" w:space="0" w:color="auto"/>
            </w:tcBorders>
            <w:shd w:val="clear" w:color="auto" w:fill="F5ECBE"/>
            <w:vAlign w:val="center"/>
          </w:tcPr>
          <w:p w:rsidR="00CF3D2D" w:rsidRPr="00036DBB" w:rsidRDefault="00CF3D2D" w:rsidP="007A4A69">
            <w:pPr>
              <w:rPr>
                <w:rFonts w:ascii="Vani" w:hAnsi="Vani" w:cs="Vani"/>
                <w:sz w:val="18"/>
                <w:szCs w:val="18"/>
              </w:rPr>
            </w:pPr>
          </w:p>
        </w:tc>
      </w:tr>
      <w:tr w:rsidR="00CF3D2D" w:rsidRPr="007252EB" w:rsidTr="007A4A69">
        <w:trPr>
          <w:trHeight w:val="369"/>
        </w:trPr>
        <w:tc>
          <w:tcPr>
            <w:tcW w:w="15168" w:type="dxa"/>
            <w:gridSpan w:val="2"/>
            <w:tcBorders>
              <w:top w:val="single" w:sz="4" w:space="0" w:color="auto"/>
            </w:tcBorders>
            <w:vAlign w:val="center"/>
          </w:tcPr>
          <w:p w:rsidR="00CF3D2D" w:rsidRPr="007252EB" w:rsidRDefault="00CF3D2D" w:rsidP="007A4A69">
            <w:pPr>
              <w:rPr>
                <w:rFonts w:ascii="Arial" w:hAnsi="Arial" w:cs="Arial"/>
                <w:sz w:val="20"/>
                <w:szCs w:val="20"/>
              </w:rPr>
            </w:pPr>
            <w:r>
              <w:rPr>
                <w:rFonts w:ascii="Arial" w:hAnsi="Arial" w:cs="Arial"/>
                <w:sz w:val="20"/>
                <w:szCs w:val="20"/>
              </w:rPr>
              <w:t xml:space="preserve">1. </w:t>
            </w:r>
            <w:r w:rsidRPr="002F1462">
              <w:rPr>
                <w:rFonts w:ascii="Arial" w:hAnsi="Arial" w:cs="Arial"/>
                <w:sz w:val="20"/>
                <w:szCs w:val="20"/>
              </w:rPr>
              <w:t>To share jurisdictional experiences and knowledge</w:t>
            </w:r>
            <w:r>
              <w:rPr>
                <w:rFonts w:ascii="Arial" w:hAnsi="Arial" w:cs="Arial"/>
                <w:sz w:val="20"/>
                <w:szCs w:val="20"/>
              </w:rPr>
              <w:t>.</w:t>
            </w:r>
          </w:p>
        </w:tc>
      </w:tr>
      <w:tr w:rsidR="00CF3D2D" w:rsidRPr="007252EB" w:rsidTr="007A4A69">
        <w:trPr>
          <w:trHeight w:val="369"/>
        </w:trPr>
        <w:tc>
          <w:tcPr>
            <w:tcW w:w="15168" w:type="dxa"/>
            <w:gridSpan w:val="2"/>
            <w:tcBorders>
              <w:top w:val="single" w:sz="4" w:space="0" w:color="auto"/>
            </w:tcBorders>
            <w:vAlign w:val="center"/>
          </w:tcPr>
          <w:p w:rsidR="00CF3D2D" w:rsidRPr="007252EB" w:rsidRDefault="00CF3D2D" w:rsidP="007A4A69">
            <w:pPr>
              <w:rPr>
                <w:rFonts w:ascii="Arial" w:hAnsi="Arial" w:cs="Arial"/>
                <w:sz w:val="20"/>
                <w:szCs w:val="20"/>
              </w:rPr>
            </w:pPr>
            <w:r w:rsidRPr="007252EB">
              <w:rPr>
                <w:rFonts w:ascii="Arial" w:hAnsi="Arial" w:cs="Arial"/>
                <w:sz w:val="20"/>
                <w:szCs w:val="20"/>
              </w:rPr>
              <w:t xml:space="preserve">2. </w:t>
            </w:r>
            <w:r w:rsidRPr="00F5109D">
              <w:rPr>
                <w:rFonts w:ascii="Arial" w:hAnsi="Arial" w:cs="Arial"/>
                <w:sz w:val="20"/>
                <w:szCs w:val="20"/>
              </w:rPr>
              <w:t>To put before th</w:t>
            </w:r>
            <w:r>
              <w:rPr>
                <w:rFonts w:ascii="Arial" w:hAnsi="Arial" w:cs="Arial"/>
                <w:sz w:val="20"/>
                <w:szCs w:val="20"/>
              </w:rPr>
              <w:t>e</w:t>
            </w:r>
            <w:r w:rsidRPr="00F5109D">
              <w:rPr>
                <w:rFonts w:ascii="Arial" w:hAnsi="Arial" w:cs="Arial"/>
                <w:sz w:val="20"/>
                <w:szCs w:val="20"/>
              </w:rPr>
              <w:t xml:space="preserve"> committee, emerging issues that are deemed high priority, for consideration of planning</w:t>
            </w:r>
            <w:r>
              <w:rPr>
                <w:rFonts w:ascii="Arial" w:hAnsi="Arial" w:cs="Arial"/>
                <w:sz w:val="20"/>
                <w:szCs w:val="20"/>
              </w:rPr>
              <w:t>.</w:t>
            </w:r>
          </w:p>
        </w:tc>
      </w:tr>
      <w:tr w:rsidR="00CF3D2D" w:rsidRPr="007252EB" w:rsidTr="007A4A69">
        <w:trPr>
          <w:trHeight w:val="369"/>
        </w:trPr>
        <w:tc>
          <w:tcPr>
            <w:tcW w:w="15168" w:type="dxa"/>
            <w:gridSpan w:val="2"/>
            <w:vAlign w:val="center"/>
          </w:tcPr>
          <w:p w:rsidR="00CF3D2D" w:rsidRPr="007252EB" w:rsidRDefault="00CF3D2D" w:rsidP="007A4A69">
            <w:pPr>
              <w:ind w:left="252" w:hanging="252"/>
              <w:rPr>
                <w:rFonts w:ascii="Arial" w:hAnsi="Arial" w:cs="Arial"/>
                <w:sz w:val="20"/>
                <w:szCs w:val="20"/>
              </w:rPr>
            </w:pPr>
            <w:r w:rsidRPr="007252EB">
              <w:rPr>
                <w:rFonts w:ascii="Arial" w:hAnsi="Arial" w:cs="Arial"/>
                <w:sz w:val="20"/>
                <w:szCs w:val="20"/>
              </w:rPr>
              <w:t xml:space="preserve">3. </w:t>
            </w:r>
            <w:r w:rsidRPr="00F32D3C">
              <w:rPr>
                <w:rFonts w:ascii="Arial" w:hAnsi="Arial" w:cs="Arial"/>
                <w:sz w:val="20"/>
                <w:szCs w:val="20"/>
              </w:rPr>
              <w:t xml:space="preserve">To </w:t>
            </w:r>
            <w:r>
              <w:rPr>
                <w:rFonts w:ascii="Arial" w:hAnsi="Arial" w:cs="Arial"/>
                <w:sz w:val="20"/>
                <w:szCs w:val="20"/>
              </w:rPr>
              <w:t xml:space="preserve">identify, plan, and carry out specific projects for the benefit of the committee members and their respective jurisdictions. </w:t>
            </w:r>
          </w:p>
        </w:tc>
      </w:tr>
      <w:tr w:rsidR="00CF3D2D" w:rsidRPr="007252EB" w:rsidTr="007A4A69">
        <w:trPr>
          <w:trHeight w:val="341"/>
        </w:trPr>
        <w:tc>
          <w:tcPr>
            <w:tcW w:w="15168" w:type="dxa"/>
            <w:gridSpan w:val="2"/>
            <w:vAlign w:val="center"/>
          </w:tcPr>
          <w:p w:rsidR="00CF3D2D" w:rsidRPr="007252EB" w:rsidRDefault="00CF3D2D" w:rsidP="007A4A69">
            <w:pPr>
              <w:rPr>
                <w:rFonts w:ascii="Arial" w:hAnsi="Arial" w:cs="Arial"/>
                <w:sz w:val="20"/>
                <w:szCs w:val="20"/>
              </w:rPr>
            </w:pPr>
            <w:r>
              <w:rPr>
                <w:rFonts w:ascii="Arial" w:hAnsi="Arial" w:cs="Arial"/>
                <w:sz w:val="20"/>
                <w:szCs w:val="20"/>
              </w:rPr>
              <w:t>4. To be available to other AWCBC / national committees to provide input and or partner with when requested.</w:t>
            </w:r>
          </w:p>
        </w:tc>
      </w:tr>
      <w:tr w:rsidR="00CF3D2D" w:rsidRPr="007252EB" w:rsidTr="007A4A69">
        <w:trPr>
          <w:trHeight w:val="365"/>
        </w:trPr>
        <w:tc>
          <w:tcPr>
            <w:tcW w:w="15168" w:type="dxa"/>
            <w:gridSpan w:val="2"/>
            <w:vAlign w:val="center"/>
          </w:tcPr>
          <w:p w:rsidR="00CF3D2D" w:rsidRPr="007252EB" w:rsidRDefault="00CF3D2D" w:rsidP="007A4A69">
            <w:pPr>
              <w:rPr>
                <w:rFonts w:ascii="Arial" w:hAnsi="Arial" w:cs="Arial"/>
                <w:sz w:val="20"/>
                <w:szCs w:val="20"/>
              </w:rPr>
            </w:pPr>
            <w:r>
              <w:rPr>
                <w:rFonts w:ascii="Arial" w:hAnsi="Arial" w:cs="Arial"/>
                <w:sz w:val="20"/>
                <w:szCs w:val="20"/>
              </w:rPr>
              <w:t>5. To provide feedback to AWCBC Executive when required or requested.</w:t>
            </w:r>
          </w:p>
        </w:tc>
      </w:tr>
    </w:tbl>
    <w:p w:rsidR="00CF3D2D" w:rsidRDefault="00CF3D2D" w:rsidP="00CF3D2D"/>
    <w:p w:rsidR="00CF3D2D" w:rsidRDefault="00CF3D2D" w:rsidP="00CF3D2D"/>
    <w:p w:rsidR="00CF3D2D" w:rsidRDefault="00CF3D2D" w:rsidP="00CF3D2D"/>
    <w:p w:rsidR="00CF3D2D" w:rsidRDefault="00CF3D2D" w:rsidP="00CF3D2D"/>
    <w:p w:rsidR="00CF3D2D" w:rsidRDefault="00CF3D2D" w:rsidP="00CF3D2D"/>
    <w:p w:rsidR="00CF3D2D" w:rsidRDefault="00CF3D2D" w:rsidP="00CF3D2D"/>
    <w:p w:rsidR="00D9474B" w:rsidRDefault="00D9474B" w:rsidP="00CF3D2D"/>
    <w:p w:rsidR="00CF3D2D" w:rsidRDefault="00CF3D2D" w:rsidP="00CF3D2D"/>
    <w:p w:rsidR="00CF3D2D" w:rsidRDefault="00CF3D2D" w:rsidP="00CF3D2D"/>
    <w:p w:rsidR="00CF3D2D" w:rsidRDefault="00CF3D2D" w:rsidP="00CF3D2D"/>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9450"/>
        <w:gridCol w:w="1980"/>
        <w:gridCol w:w="910"/>
      </w:tblGrid>
      <w:tr w:rsidR="00CF3D2D" w:rsidRPr="002E60CB" w:rsidTr="007A4A69">
        <w:trPr>
          <w:trHeight w:val="417"/>
          <w:tblHeader/>
        </w:trPr>
        <w:tc>
          <w:tcPr>
            <w:tcW w:w="2970" w:type="dxa"/>
            <w:tcBorders>
              <w:bottom w:val="single" w:sz="4" w:space="0" w:color="auto"/>
            </w:tcBorders>
            <w:shd w:val="clear" w:color="auto" w:fill="F5ECBE"/>
            <w:vAlign w:val="center"/>
          </w:tcPr>
          <w:p w:rsidR="00CF3D2D" w:rsidRPr="002E60CB" w:rsidRDefault="00CF3D2D" w:rsidP="007A4A69">
            <w:pPr>
              <w:rPr>
                <w:rFonts w:ascii="Arial" w:hAnsi="Arial" w:cs="Arial"/>
                <w:b/>
                <w:sz w:val="20"/>
                <w:szCs w:val="20"/>
              </w:rPr>
            </w:pPr>
            <w:r>
              <w:rPr>
                <w:rFonts w:ascii="Arial" w:hAnsi="Arial" w:cs="Arial"/>
                <w:b/>
                <w:sz w:val="20"/>
                <w:szCs w:val="20"/>
              </w:rPr>
              <w:t>Objective</w:t>
            </w:r>
            <w:r w:rsidRPr="002E60CB">
              <w:rPr>
                <w:rFonts w:ascii="Arial" w:hAnsi="Arial" w:cs="Arial"/>
                <w:b/>
                <w:sz w:val="20"/>
                <w:szCs w:val="20"/>
              </w:rPr>
              <w:t xml:space="preserve"> </w:t>
            </w:r>
          </w:p>
        </w:tc>
        <w:tc>
          <w:tcPr>
            <w:tcW w:w="9450" w:type="dxa"/>
            <w:tcBorders>
              <w:bottom w:val="single" w:sz="4" w:space="0" w:color="auto"/>
            </w:tcBorders>
            <w:shd w:val="clear" w:color="auto" w:fill="F5ECBE"/>
            <w:vAlign w:val="center"/>
          </w:tcPr>
          <w:p w:rsidR="00CF3D2D" w:rsidRPr="002E60CB" w:rsidRDefault="00CF3D2D" w:rsidP="007A4A69">
            <w:pPr>
              <w:jc w:val="center"/>
              <w:rPr>
                <w:rFonts w:ascii="Arial" w:hAnsi="Arial" w:cs="Arial"/>
                <w:b/>
                <w:sz w:val="20"/>
                <w:szCs w:val="20"/>
              </w:rPr>
            </w:pPr>
            <w:r>
              <w:rPr>
                <w:rFonts w:ascii="Arial" w:hAnsi="Arial" w:cs="Arial"/>
                <w:b/>
                <w:sz w:val="20"/>
                <w:szCs w:val="20"/>
              </w:rPr>
              <w:t>A</w:t>
            </w:r>
            <w:r w:rsidRPr="002E60CB">
              <w:rPr>
                <w:rFonts w:ascii="Arial" w:hAnsi="Arial" w:cs="Arial"/>
                <w:b/>
                <w:sz w:val="20"/>
                <w:szCs w:val="20"/>
              </w:rPr>
              <w:t>ctivities</w:t>
            </w:r>
          </w:p>
        </w:tc>
        <w:tc>
          <w:tcPr>
            <w:tcW w:w="1980" w:type="dxa"/>
            <w:tcBorders>
              <w:bottom w:val="single" w:sz="4" w:space="0" w:color="auto"/>
            </w:tcBorders>
            <w:shd w:val="clear" w:color="auto" w:fill="F5ECBE"/>
            <w:vAlign w:val="center"/>
          </w:tcPr>
          <w:p w:rsidR="00CF3D2D" w:rsidRDefault="00CF3D2D" w:rsidP="007A4A69">
            <w:pPr>
              <w:jc w:val="center"/>
              <w:rPr>
                <w:rFonts w:ascii="Arial" w:hAnsi="Arial" w:cs="Arial"/>
                <w:b/>
                <w:sz w:val="20"/>
                <w:szCs w:val="20"/>
              </w:rPr>
            </w:pPr>
            <w:r w:rsidRPr="002E60CB">
              <w:rPr>
                <w:rFonts w:ascii="Arial" w:hAnsi="Arial" w:cs="Arial"/>
                <w:b/>
                <w:sz w:val="20"/>
                <w:szCs w:val="20"/>
              </w:rPr>
              <w:t>Target Date(s)</w:t>
            </w:r>
          </w:p>
          <w:p w:rsidR="00CF3D2D" w:rsidRPr="002E60CB" w:rsidRDefault="00CF3D2D" w:rsidP="007A4A69">
            <w:pPr>
              <w:jc w:val="center"/>
              <w:rPr>
                <w:rFonts w:ascii="Arial" w:hAnsi="Arial" w:cs="Arial"/>
                <w:b/>
                <w:sz w:val="20"/>
                <w:szCs w:val="20"/>
              </w:rPr>
            </w:pPr>
            <w:r>
              <w:rPr>
                <w:rFonts w:ascii="Arial" w:hAnsi="Arial" w:cs="Arial"/>
                <w:b/>
                <w:sz w:val="20"/>
                <w:szCs w:val="20"/>
              </w:rPr>
              <w:t>/Status</w:t>
            </w:r>
          </w:p>
        </w:tc>
        <w:tc>
          <w:tcPr>
            <w:tcW w:w="910" w:type="dxa"/>
            <w:tcBorders>
              <w:bottom w:val="single" w:sz="4" w:space="0" w:color="auto"/>
            </w:tcBorders>
            <w:shd w:val="clear" w:color="auto" w:fill="F5ECBE"/>
            <w:vAlign w:val="center"/>
          </w:tcPr>
          <w:p w:rsidR="00CF3D2D" w:rsidRPr="002E60CB" w:rsidRDefault="00CF3D2D" w:rsidP="007A4A69">
            <w:pPr>
              <w:jc w:val="center"/>
              <w:rPr>
                <w:rFonts w:ascii="Arial" w:hAnsi="Arial" w:cs="Arial"/>
                <w:b/>
                <w:sz w:val="20"/>
                <w:szCs w:val="20"/>
              </w:rPr>
            </w:pPr>
            <w:r w:rsidRPr="00DB7271">
              <w:rPr>
                <w:rFonts w:ascii="Arial" w:hAnsi="Arial" w:cs="Arial"/>
                <w:b/>
                <w:sz w:val="20"/>
                <w:szCs w:val="20"/>
              </w:rPr>
              <w:t>Budget</w:t>
            </w:r>
          </w:p>
        </w:tc>
      </w:tr>
      <w:tr w:rsidR="00CF3D2D" w:rsidRPr="002E60CB" w:rsidTr="007A4A69">
        <w:trPr>
          <w:trHeight w:val="2918"/>
        </w:trPr>
        <w:tc>
          <w:tcPr>
            <w:tcW w:w="2970" w:type="dxa"/>
            <w:tcBorders>
              <w:top w:val="single" w:sz="4" w:space="0" w:color="auto"/>
              <w:left w:val="single" w:sz="4" w:space="0" w:color="auto"/>
              <w:bottom w:val="nil"/>
              <w:right w:val="single" w:sz="4" w:space="0" w:color="auto"/>
            </w:tcBorders>
          </w:tcPr>
          <w:p w:rsidR="00CF3D2D" w:rsidRDefault="00CF3D2D" w:rsidP="007A4A69">
            <w:pPr>
              <w:rPr>
                <w:rFonts w:ascii="Arial" w:hAnsi="Arial" w:cs="Arial"/>
                <w:sz w:val="20"/>
                <w:szCs w:val="20"/>
              </w:rPr>
            </w:pPr>
          </w:p>
          <w:p w:rsidR="00CF3D2D" w:rsidRDefault="00CF3D2D" w:rsidP="007A4A69">
            <w:pPr>
              <w:rPr>
                <w:rFonts w:ascii="Arial" w:hAnsi="Arial" w:cs="Arial"/>
                <w:b/>
                <w:color w:val="FF0000"/>
                <w:sz w:val="20"/>
                <w:szCs w:val="20"/>
              </w:rPr>
            </w:pPr>
            <w:r>
              <w:rPr>
                <w:rFonts w:ascii="Arial" w:hAnsi="Arial" w:cs="Arial"/>
                <w:b/>
                <w:color w:val="FF0000"/>
                <w:sz w:val="20"/>
                <w:szCs w:val="20"/>
              </w:rPr>
              <w:t>Improving Return to Work Outcomes/Reducing Durations</w:t>
            </w:r>
          </w:p>
          <w:p w:rsidR="00CF3D2D" w:rsidRDefault="00CF3D2D" w:rsidP="007A4A69">
            <w:pPr>
              <w:rPr>
                <w:rFonts w:ascii="Arial" w:hAnsi="Arial" w:cs="Arial"/>
                <w:b/>
                <w:color w:val="FF0000"/>
                <w:sz w:val="20"/>
                <w:szCs w:val="20"/>
              </w:rPr>
            </w:pPr>
          </w:p>
          <w:p w:rsidR="00CF3D2D" w:rsidRDefault="00CF3D2D" w:rsidP="007A4A69">
            <w:pPr>
              <w:rPr>
                <w:rFonts w:ascii="Arial" w:hAnsi="Arial" w:cs="Arial"/>
                <w:b/>
                <w:color w:val="FF0000"/>
                <w:sz w:val="20"/>
                <w:szCs w:val="20"/>
              </w:rPr>
            </w:pPr>
            <w:r>
              <w:rPr>
                <w:rFonts w:ascii="Arial" w:hAnsi="Arial" w:cs="Arial"/>
                <w:b/>
                <w:color w:val="FF0000"/>
                <w:sz w:val="20"/>
                <w:szCs w:val="20"/>
              </w:rPr>
              <w:t>(Share work that is being done within your organization to support RTW, reduce duration etc )</w:t>
            </w:r>
          </w:p>
          <w:p w:rsidR="00CF3D2D" w:rsidRDefault="00CF3D2D" w:rsidP="007A4A69">
            <w:pPr>
              <w:rPr>
                <w:rFonts w:ascii="Arial" w:hAnsi="Arial" w:cs="Arial"/>
                <w:b/>
                <w:color w:val="FF0000"/>
                <w:sz w:val="20"/>
                <w:szCs w:val="20"/>
              </w:rPr>
            </w:pPr>
          </w:p>
          <w:p w:rsidR="00CF3D2D" w:rsidRDefault="00CF3D2D" w:rsidP="007A4A69">
            <w:pPr>
              <w:rPr>
                <w:rFonts w:ascii="Arial" w:hAnsi="Arial" w:cs="Arial"/>
                <w:b/>
                <w:color w:val="FF0000"/>
                <w:sz w:val="20"/>
                <w:szCs w:val="20"/>
              </w:rPr>
            </w:pPr>
          </w:p>
          <w:p w:rsidR="00CF3D2D" w:rsidRDefault="00CF3D2D" w:rsidP="00CF3D2D">
            <w:pPr>
              <w:numPr>
                <w:ilvl w:val="0"/>
                <w:numId w:val="1"/>
              </w:numPr>
              <w:ind w:left="360"/>
              <w:rPr>
                <w:rFonts w:ascii="Arial" w:hAnsi="Arial" w:cs="Arial"/>
                <w:b/>
                <w:color w:val="FF0000"/>
                <w:sz w:val="20"/>
                <w:szCs w:val="20"/>
              </w:rPr>
            </w:pPr>
            <w:r>
              <w:rPr>
                <w:rFonts w:ascii="Arial" w:hAnsi="Arial" w:cs="Arial"/>
                <w:b/>
                <w:color w:val="FF0000"/>
                <w:sz w:val="20"/>
                <w:szCs w:val="20"/>
              </w:rPr>
              <w:t xml:space="preserve">Organizational Changes to support RTW </w:t>
            </w:r>
          </w:p>
          <w:p w:rsidR="00CF3D2D" w:rsidRDefault="00CF3D2D" w:rsidP="007A4A69">
            <w:pPr>
              <w:ind w:left="360"/>
              <w:rPr>
                <w:rFonts w:ascii="Arial" w:hAnsi="Arial" w:cs="Arial"/>
                <w:b/>
                <w:color w:val="FF0000"/>
                <w:sz w:val="20"/>
                <w:szCs w:val="20"/>
              </w:rPr>
            </w:pPr>
          </w:p>
          <w:p w:rsidR="00CF3D2D" w:rsidRPr="004E75F5" w:rsidRDefault="00CF3D2D" w:rsidP="00CF3D2D">
            <w:pPr>
              <w:numPr>
                <w:ilvl w:val="0"/>
                <w:numId w:val="1"/>
              </w:numPr>
              <w:ind w:left="360"/>
              <w:rPr>
                <w:rFonts w:ascii="Arial" w:hAnsi="Arial" w:cs="Arial"/>
                <w:b/>
                <w:color w:val="FF0000"/>
                <w:sz w:val="20"/>
                <w:szCs w:val="20"/>
              </w:rPr>
            </w:pPr>
            <w:r w:rsidRPr="004E75F5">
              <w:rPr>
                <w:rFonts w:ascii="Arial" w:hAnsi="Arial" w:cs="Arial"/>
                <w:b/>
                <w:color w:val="FF0000"/>
                <w:sz w:val="20"/>
                <w:szCs w:val="20"/>
              </w:rPr>
              <w:t>New Initiatives</w:t>
            </w:r>
          </w:p>
          <w:p w:rsidR="00CF3D2D" w:rsidRDefault="00CF3D2D" w:rsidP="007A4A69">
            <w:pPr>
              <w:rPr>
                <w:rFonts w:ascii="Arial" w:hAnsi="Arial" w:cs="Arial"/>
                <w:b/>
                <w:color w:val="FF0000"/>
                <w:sz w:val="20"/>
                <w:szCs w:val="20"/>
              </w:rPr>
            </w:pPr>
          </w:p>
          <w:p w:rsidR="00CF3D2D" w:rsidRDefault="00CF3D2D" w:rsidP="00CF3D2D">
            <w:pPr>
              <w:numPr>
                <w:ilvl w:val="0"/>
                <w:numId w:val="1"/>
              </w:numPr>
              <w:ind w:left="360"/>
              <w:rPr>
                <w:rFonts w:ascii="Arial" w:hAnsi="Arial" w:cs="Arial"/>
                <w:b/>
                <w:color w:val="FF0000"/>
                <w:sz w:val="20"/>
                <w:szCs w:val="20"/>
              </w:rPr>
            </w:pPr>
            <w:r>
              <w:rPr>
                <w:rFonts w:ascii="Arial" w:hAnsi="Arial" w:cs="Arial"/>
                <w:b/>
                <w:color w:val="FF0000"/>
                <w:sz w:val="20"/>
                <w:szCs w:val="20"/>
              </w:rPr>
              <w:t>Best Practices</w:t>
            </w:r>
          </w:p>
          <w:p w:rsidR="00CF3D2D" w:rsidRDefault="00CF3D2D" w:rsidP="007A4A69">
            <w:pPr>
              <w:rPr>
                <w:rFonts w:ascii="Arial" w:hAnsi="Arial" w:cs="Arial"/>
                <w:b/>
                <w:color w:val="FF0000"/>
                <w:sz w:val="20"/>
                <w:szCs w:val="20"/>
              </w:rPr>
            </w:pPr>
          </w:p>
          <w:p w:rsidR="00CF3D2D" w:rsidRPr="009A21E1" w:rsidRDefault="00CF3D2D" w:rsidP="00CF3D2D">
            <w:pPr>
              <w:numPr>
                <w:ilvl w:val="0"/>
                <w:numId w:val="1"/>
              </w:numPr>
              <w:ind w:left="360"/>
              <w:rPr>
                <w:rFonts w:ascii="Arial" w:hAnsi="Arial" w:cs="Arial"/>
                <w:b/>
                <w:color w:val="FF0000"/>
                <w:sz w:val="20"/>
                <w:szCs w:val="20"/>
              </w:rPr>
            </w:pPr>
            <w:r>
              <w:rPr>
                <w:rFonts w:ascii="Arial" w:hAnsi="Arial" w:cs="Arial"/>
                <w:b/>
                <w:color w:val="FF0000"/>
                <w:sz w:val="20"/>
                <w:szCs w:val="20"/>
              </w:rPr>
              <w:t>Outcomes</w:t>
            </w:r>
          </w:p>
        </w:tc>
        <w:tc>
          <w:tcPr>
            <w:tcW w:w="9450" w:type="dxa"/>
            <w:tcBorders>
              <w:top w:val="single" w:sz="4" w:space="0" w:color="auto"/>
              <w:left w:val="single" w:sz="4" w:space="0" w:color="auto"/>
              <w:bottom w:val="nil"/>
              <w:right w:val="single" w:sz="4" w:space="0" w:color="auto"/>
            </w:tcBorders>
          </w:tcPr>
          <w:p w:rsidR="00CF3D2D" w:rsidRDefault="00CF3D2D" w:rsidP="00122D4A">
            <w:pPr>
              <w:rPr>
                <w:rFonts w:ascii="Arial" w:hAnsi="Arial" w:cs="Arial"/>
              </w:rPr>
            </w:pPr>
          </w:p>
          <w:p w:rsidR="00122D4A" w:rsidRDefault="00122D4A" w:rsidP="00122D4A">
            <w:pPr>
              <w:rPr>
                <w:rFonts w:ascii="Arial" w:hAnsi="Arial" w:cs="Arial"/>
              </w:rPr>
            </w:pPr>
            <w:r>
              <w:rPr>
                <w:rFonts w:ascii="Arial" w:hAnsi="Arial" w:cs="Arial"/>
                <w:sz w:val="22"/>
                <w:szCs w:val="22"/>
              </w:rPr>
              <w:t>New Initiatives</w:t>
            </w:r>
          </w:p>
          <w:p w:rsidR="00122D4A" w:rsidRDefault="00122D4A" w:rsidP="00122D4A">
            <w:pPr>
              <w:rPr>
                <w:rFonts w:ascii="Arial" w:hAnsi="Arial" w:cs="Arial"/>
              </w:rPr>
            </w:pPr>
          </w:p>
          <w:p w:rsidR="00122D4A" w:rsidRPr="00974AF9" w:rsidRDefault="00122D4A" w:rsidP="00122D4A">
            <w:pPr>
              <w:pStyle w:val="ListParagraph"/>
              <w:numPr>
                <w:ilvl w:val="0"/>
                <w:numId w:val="6"/>
              </w:numPr>
              <w:rPr>
                <w:rFonts w:ascii="Arial" w:hAnsi="Arial" w:cs="Arial"/>
              </w:rPr>
            </w:pPr>
            <w:r w:rsidRPr="00F44D8E">
              <w:rPr>
                <w:rFonts w:ascii="Arial" w:hAnsi="Arial" w:cs="Arial"/>
                <w:sz w:val="22"/>
                <w:szCs w:val="22"/>
              </w:rPr>
              <w:t>Mgr RTW Services is developing a template that supports tracking milestones in return to work cases.  We currently have no visual tracking model that helps to identify when cases are slowing down or completely off track.  This has resulted in an increase in long term cases that began as soft tissue injuries and became disabilities with psychosocial overlay.</w:t>
            </w:r>
            <w:r w:rsidR="00974AF9">
              <w:rPr>
                <w:rFonts w:ascii="Arial" w:hAnsi="Arial" w:cs="Arial"/>
                <w:sz w:val="22"/>
                <w:szCs w:val="22"/>
              </w:rPr>
              <w:t xml:space="preserve">  This tool can be used for case planning, expectation management with clients, employers in the return to work process and service providers for treatment plans. </w:t>
            </w:r>
            <w:r w:rsidRPr="00974AF9">
              <w:rPr>
                <w:rFonts w:ascii="Arial" w:hAnsi="Arial" w:cs="Arial"/>
                <w:sz w:val="22"/>
                <w:szCs w:val="22"/>
              </w:rPr>
              <w:t>The process will involve using MDA guidelines as a measure to gauge whether a claim is on track or stalling in progress as well as increasing accountability for decision makers.</w:t>
            </w:r>
            <w:r w:rsidR="00974AF9">
              <w:rPr>
                <w:rFonts w:ascii="Arial" w:hAnsi="Arial" w:cs="Arial"/>
                <w:sz w:val="22"/>
                <w:szCs w:val="22"/>
              </w:rPr>
              <w:t xml:space="preserve">  Immediate action can be taken when milestones are not met </w:t>
            </w:r>
            <w:r w:rsidR="007A4A69">
              <w:rPr>
                <w:rFonts w:ascii="Arial" w:hAnsi="Arial" w:cs="Arial"/>
                <w:sz w:val="22"/>
                <w:szCs w:val="22"/>
              </w:rPr>
              <w:t>by</w:t>
            </w:r>
            <w:r w:rsidR="00974AF9">
              <w:rPr>
                <w:rFonts w:ascii="Arial" w:hAnsi="Arial" w:cs="Arial"/>
                <w:sz w:val="22"/>
                <w:szCs w:val="22"/>
              </w:rPr>
              <w:t xml:space="preserve"> provid</w:t>
            </w:r>
            <w:r w:rsidR="007A4A69">
              <w:rPr>
                <w:rFonts w:ascii="Arial" w:hAnsi="Arial" w:cs="Arial"/>
                <w:sz w:val="22"/>
                <w:szCs w:val="22"/>
              </w:rPr>
              <w:t>ing</w:t>
            </w:r>
            <w:r w:rsidR="00974AF9">
              <w:rPr>
                <w:rFonts w:ascii="Arial" w:hAnsi="Arial" w:cs="Arial"/>
                <w:sz w:val="22"/>
                <w:szCs w:val="22"/>
              </w:rPr>
              <w:t xml:space="preserve"> necessary </w:t>
            </w:r>
            <w:r w:rsidR="007A4A69">
              <w:rPr>
                <w:rFonts w:ascii="Arial" w:hAnsi="Arial" w:cs="Arial"/>
                <w:sz w:val="22"/>
                <w:szCs w:val="22"/>
              </w:rPr>
              <w:t>oversight.</w:t>
            </w:r>
          </w:p>
          <w:p w:rsidR="001F7426" w:rsidRDefault="001F7426" w:rsidP="00122D4A">
            <w:pPr>
              <w:rPr>
                <w:rFonts w:ascii="Arial" w:hAnsi="Arial" w:cs="Arial"/>
              </w:rPr>
            </w:pPr>
          </w:p>
          <w:p w:rsidR="001F7426" w:rsidRDefault="001F7426" w:rsidP="00122D4A">
            <w:pPr>
              <w:rPr>
                <w:rFonts w:ascii="Arial" w:hAnsi="Arial" w:cs="Arial"/>
              </w:rPr>
            </w:pPr>
          </w:p>
          <w:p w:rsidR="001F7426" w:rsidRPr="00F44D8E" w:rsidRDefault="001F7426" w:rsidP="007A4A69">
            <w:pPr>
              <w:pStyle w:val="ListParagraph"/>
              <w:numPr>
                <w:ilvl w:val="0"/>
                <w:numId w:val="6"/>
              </w:numPr>
              <w:rPr>
                <w:rFonts w:ascii="Arial" w:hAnsi="Arial" w:cs="Arial"/>
              </w:rPr>
            </w:pPr>
            <w:r w:rsidRPr="00F44D8E">
              <w:rPr>
                <w:rFonts w:ascii="Arial" w:hAnsi="Arial" w:cs="Arial"/>
                <w:sz w:val="22"/>
                <w:szCs w:val="22"/>
              </w:rPr>
              <w:t>Working on building a cost accounting model that can be provided to employers to grow the</w:t>
            </w:r>
            <w:r w:rsidR="00F44D8E">
              <w:rPr>
                <w:rFonts w:ascii="Arial" w:hAnsi="Arial" w:cs="Arial"/>
                <w:sz w:val="22"/>
                <w:szCs w:val="22"/>
              </w:rPr>
              <w:t>ir</w:t>
            </w:r>
            <w:r w:rsidRPr="00F44D8E">
              <w:rPr>
                <w:rFonts w:ascii="Arial" w:hAnsi="Arial" w:cs="Arial"/>
                <w:sz w:val="22"/>
                <w:szCs w:val="22"/>
              </w:rPr>
              <w:t xml:space="preserve"> understanding of what injuries at work actually cost an employer.  </w:t>
            </w:r>
            <w:r w:rsidR="007A4A69">
              <w:rPr>
                <w:rFonts w:ascii="Arial" w:hAnsi="Arial" w:cs="Arial"/>
                <w:sz w:val="22"/>
                <w:szCs w:val="22"/>
              </w:rPr>
              <w:t>As a small jurisdiction that uses a different rate setting model than larger jurisdictions, employers receive little information about their injury costs.  Educating employers about injury cos</w:t>
            </w:r>
            <w:r w:rsidR="00BE6475">
              <w:rPr>
                <w:rFonts w:ascii="Arial" w:hAnsi="Arial" w:cs="Arial"/>
                <w:sz w:val="22"/>
                <w:szCs w:val="22"/>
              </w:rPr>
              <w:t xml:space="preserve">ts should assist with the boards’ mandate of preventing disability.  </w:t>
            </w:r>
            <w:r w:rsidRPr="00F44D8E">
              <w:rPr>
                <w:rFonts w:ascii="Arial" w:hAnsi="Arial" w:cs="Arial"/>
                <w:sz w:val="22"/>
                <w:szCs w:val="22"/>
              </w:rPr>
              <w:t xml:space="preserve">  </w:t>
            </w:r>
          </w:p>
        </w:tc>
        <w:tc>
          <w:tcPr>
            <w:tcW w:w="1980" w:type="dxa"/>
            <w:tcBorders>
              <w:top w:val="single" w:sz="4" w:space="0" w:color="auto"/>
              <w:left w:val="single" w:sz="4" w:space="0" w:color="auto"/>
              <w:bottom w:val="nil"/>
              <w:right w:val="single" w:sz="4" w:space="0" w:color="auto"/>
            </w:tcBorders>
          </w:tcPr>
          <w:p w:rsidR="00CF3D2D" w:rsidRDefault="00CF3D2D" w:rsidP="007A4A69">
            <w:pPr>
              <w:spacing w:before="120"/>
              <w:rPr>
                <w:rFonts w:ascii="Arial" w:hAnsi="Arial" w:cs="Arial"/>
                <w:sz w:val="20"/>
                <w:szCs w:val="20"/>
              </w:rPr>
            </w:pPr>
          </w:p>
          <w:p w:rsidR="00CF3D2D" w:rsidRDefault="00CF3D2D" w:rsidP="007A4A69">
            <w:pPr>
              <w:spacing w:before="120"/>
              <w:rPr>
                <w:rFonts w:ascii="Arial" w:hAnsi="Arial" w:cs="Arial"/>
                <w:sz w:val="20"/>
                <w:szCs w:val="20"/>
              </w:rPr>
            </w:pPr>
          </w:p>
          <w:p w:rsidR="00CF3D2D" w:rsidRDefault="00CF3D2D" w:rsidP="007A4A69">
            <w:pPr>
              <w:spacing w:before="120"/>
              <w:rPr>
                <w:rFonts w:ascii="Arial" w:hAnsi="Arial" w:cs="Arial"/>
                <w:sz w:val="20"/>
                <w:szCs w:val="20"/>
              </w:rPr>
            </w:pPr>
          </w:p>
          <w:p w:rsidR="00CF3D2D" w:rsidRPr="002E60CB" w:rsidRDefault="00CF3D2D" w:rsidP="007A4A69">
            <w:pPr>
              <w:spacing w:before="120"/>
              <w:rPr>
                <w:rFonts w:ascii="Arial" w:hAnsi="Arial" w:cs="Arial"/>
                <w:sz w:val="20"/>
                <w:szCs w:val="20"/>
              </w:rPr>
            </w:pPr>
          </w:p>
        </w:tc>
        <w:tc>
          <w:tcPr>
            <w:tcW w:w="910" w:type="dxa"/>
            <w:tcBorders>
              <w:top w:val="single" w:sz="4" w:space="0" w:color="auto"/>
              <w:left w:val="single" w:sz="4" w:space="0" w:color="auto"/>
              <w:bottom w:val="nil"/>
              <w:right w:val="single" w:sz="4" w:space="0" w:color="auto"/>
            </w:tcBorders>
          </w:tcPr>
          <w:p w:rsidR="00CF3D2D" w:rsidRPr="002E60CB" w:rsidRDefault="00CF3D2D" w:rsidP="007A4A69">
            <w:pPr>
              <w:spacing w:before="120"/>
              <w:rPr>
                <w:rFonts w:ascii="Arial" w:hAnsi="Arial" w:cs="Arial"/>
                <w:sz w:val="20"/>
                <w:szCs w:val="20"/>
              </w:rPr>
            </w:pPr>
          </w:p>
        </w:tc>
      </w:tr>
      <w:tr w:rsidR="00CF3D2D" w:rsidRPr="002E60CB" w:rsidTr="007A4A69">
        <w:trPr>
          <w:trHeight w:val="607"/>
        </w:trPr>
        <w:tc>
          <w:tcPr>
            <w:tcW w:w="2970" w:type="dxa"/>
            <w:tcBorders>
              <w:top w:val="nil"/>
              <w:left w:val="single" w:sz="4" w:space="0" w:color="auto"/>
              <w:bottom w:val="single" w:sz="4" w:space="0" w:color="auto"/>
              <w:right w:val="single" w:sz="4" w:space="0" w:color="auto"/>
            </w:tcBorders>
          </w:tcPr>
          <w:p w:rsidR="00CF3D2D" w:rsidRDefault="00CF3D2D" w:rsidP="007A4A69">
            <w:pPr>
              <w:rPr>
                <w:rFonts w:ascii="Arial" w:hAnsi="Arial" w:cs="Arial"/>
                <w:sz w:val="20"/>
                <w:szCs w:val="20"/>
              </w:rPr>
            </w:pPr>
          </w:p>
        </w:tc>
        <w:tc>
          <w:tcPr>
            <w:tcW w:w="9450" w:type="dxa"/>
            <w:tcBorders>
              <w:top w:val="nil"/>
              <w:left w:val="single" w:sz="4" w:space="0" w:color="auto"/>
              <w:bottom w:val="single" w:sz="4" w:space="0" w:color="auto"/>
              <w:right w:val="single" w:sz="4" w:space="0" w:color="auto"/>
            </w:tcBorders>
          </w:tcPr>
          <w:p w:rsidR="00CF3D2D" w:rsidRPr="00712D76" w:rsidRDefault="00CF3D2D" w:rsidP="007A4A69">
            <w:pPr>
              <w:rPr>
                <w:rFonts w:ascii="Arial" w:hAnsi="Arial" w:cs="Arial"/>
              </w:rPr>
            </w:pPr>
          </w:p>
        </w:tc>
        <w:tc>
          <w:tcPr>
            <w:tcW w:w="1980" w:type="dxa"/>
            <w:tcBorders>
              <w:top w:val="nil"/>
              <w:left w:val="single" w:sz="4" w:space="0" w:color="auto"/>
              <w:bottom w:val="single" w:sz="4" w:space="0" w:color="auto"/>
              <w:right w:val="single" w:sz="4" w:space="0" w:color="auto"/>
            </w:tcBorders>
          </w:tcPr>
          <w:p w:rsidR="00CF3D2D" w:rsidRPr="00DB7271" w:rsidRDefault="00CF3D2D" w:rsidP="007A4A69">
            <w:pPr>
              <w:spacing w:before="120"/>
              <w:rPr>
                <w:rFonts w:ascii="Arial" w:hAnsi="Arial" w:cs="Arial"/>
                <w:sz w:val="20"/>
                <w:szCs w:val="20"/>
              </w:rPr>
            </w:pPr>
          </w:p>
        </w:tc>
        <w:tc>
          <w:tcPr>
            <w:tcW w:w="910" w:type="dxa"/>
            <w:tcBorders>
              <w:top w:val="nil"/>
              <w:left w:val="single" w:sz="4" w:space="0" w:color="auto"/>
              <w:bottom w:val="single" w:sz="4" w:space="0" w:color="auto"/>
              <w:right w:val="single" w:sz="4" w:space="0" w:color="auto"/>
            </w:tcBorders>
          </w:tcPr>
          <w:p w:rsidR="00CF3D2D" w:rsidRPr="00DB7271" w:rsidRDefault="00CF3D2D" w:rsidP="007A4A69">
            <w:pPr>
              <w:spacing w:before="120"/>
              <w:rPr>
                <w:rFonts w:ascii="Arial" w:hAnsi="Arial" w:cs="Arial"/>
                <w:sz w:val="20"/>
                <w:szCs w:val="20"/>
              </w:rPr>
            </w:pPr>
          </w:p>
        </w:tc>
      </w:tr>
      <w:tr w:rsidR="00CF3D2D" w:rsidRPr="002E60CB" w:rsidTr="007A4A69">
        <w:trPr>
          <w:trHeight w:val="77"/>
        </w:trPr>
        <w:tc>
          <w:tcPr>
            <w:tcW w:w="2970" w:type="dxa"/>
            <w:tcBorders>
              <w:bottom w:val="single" w:sz="4" w:space="0" w:color="auto"/>
            </w:tcBorders>
          </w:tcPr>
          <w:p w:rsidR="00CF3D2D" w:rsidRDefault="00CF3D2D" w:rsidP="007A4A69">
            <w:pPr>
              <w:rPr>
                <w:rFonts w:ascii="Arial" w:hAnsi="Arial" w:cs="Arial"/>
                <w:b/>
                <w:color w:val="FF0000"/>
                <w:sz w:val="20"/>
                <w:szCs w:val="20"/>
              </w:rPr>
            </w:pPr>
          </w:p>
          <w:p w:rsidR="00CF3D2D" w:rsidRDefault="00CF3D2D" w:rsidP="007A4A69">
            <w:pPr>
              <w:rPr>
                <w:rFonts w:ascii="Arial" w:hAnsi="Arial" w:cs="Arial"/>
                <w:b/>
                <w:color w:val="FF0000"/>
                <w:sz w:val="20"/>
                <w:szCs w:val="20"/>
              </w:rPr>
            </w:pPr>
            <w:r>
              <w:rPr>
                <w:rFonts w:ascii="Arial" w:hAnsi="Arial" w:cs="Arial"/>
                <w:b/>
                <w:color w:val="FF0000"/>
                <w:sz w:val="20"/>
                <w:szCs w:val="20"/>
              </w:rPr>
              <w:t>Service Delivery / Quality Initiatives</w:t>
            </w:r>
          </w:p>
          <w:p w:rsidR="00CF3D2D" w:rsidRDefault="00CF3D2D" w:rsidP="007A4A69">
            <w:pPr>
              <w:rPr>
                <w:rFonts w:ascii="Arial" w:hAnsi="Arial" w:cs="Arial"/>
                <w:b/>
                <w:color w:val="FF0000"/>
                <w:sz w:val="20"/>
                <w:szCs w:val="20"/>
              </w:rPr>
            </w:pPr>
          </w:p>
          <w:p w:rsidR="00CF3D2D" w:rsidRDefault="00CF3D2D" w:rsidP="007A4A69">
            <w:pPr>
              <w:rPr>
                <w:rFonts w:ascii="Arial" w:hAnsi="Arial" w:cs="Arial"/>
                <w:b/>
                <w:color w:val="FF0000"/>
                <w:sz w:val="20"/>
                <w:szCs w:val="20"/>
              </w:rPr>
            </w:pPr>
            <w:r>
              <w:rPr>
                <w:rFonts w:ascii="Arial" w:hAnsi="Arial" w:cs="Arial"/>
                <w:b/>
                <w:color w:val="FF0000"/>
                <w:sz w:val="20"/>
                <w:szCs w:val="20"/>
              </w:rPr>
              <w:t>Share what is being done in your organization to improve Customer service delivery and to support Quality service/ decisions to stakeholder)</w:t>
            </w:r>
          </w:p>
          <w:p w:rsidR="00CF3D2D" w:rsidRDefault="00CF3D2D" w:rsidP="007A4A69">
            <w:pPr>
              <w:rPr>
                <w:rFonts w:ascii="Arial" w:hAnsi="Arial" w:cs="Arial"/>
                <w:b/>
                <w:color w:val="FF0000"/>
                <w:sz w:val="20"/>
                <w:szCs w:val="20"/>
              </w:rPr>
            </w:pPr>
          </w:p>
          <w:p w:rsidR="00CF3D2D" w:rsidRDefault="00CF3D2D" w:rsidP="007A4A69">
            <w:pPr>
              <w:rPr>
                <w:rFonts w:ascii="Arial" w:hAnsi="Arial" w:cs="Arial"/>
                <w:b/>
                <w:color w:val="FF0000"/>
                <w:sz w:val="20"/>
                <w:szCs w:val="20"/>
              </w:rPr>
            </w:pPr>
          </w:p>
          <w:p w:rsidR="00CF3D2D" w:rsidRDefault="00CF3D2D" w:rsidP="00CF3D2D">
            <w:pPr>
              <w:numPr>
                <w:ilvl w:val="0"/>
                <w:numId w:val="2"/>
              </w:numPr>
              <w:rPr>
                <w:rFonts w:ascii="Arial" w:hAnsi="Arial" w:cs="Arial"/>
                <w:b/>
                <w:color w:val="FF0000"/>
                <w:sz w:val="20"/>
                <w:szCs w:val="20"/>
              </w:rPr>
            </w:pPr>
            <w:r>
              <w:rPr>
                <w:rFonts w:ascii="Arial" w:hAnsi="Arial" w:cs="Arial"/>
                <w:b/>
                <w:color w:val="FF0000"/>
                <w:sz w:val="20"/>
                <w:szCs w:val="20"/>
              </w:rPr>
              <w:t>New Initiatives</w:t>
            </w:r>
          </w:p>
          <w:p w:rsidR="00CF3D2D" w:rsidRDefault="00CF3D2D" w:rsidP="007A4A69">
            <w:pPr>
              <w:rPr>
                <w:rFonts w:ascii="Arial" w:hAnsi="Arial" w:cs="Arial"/>
                <w:b/>
                <w:color w:val="FF0000"/>
                <w:sz w:val="20"/>
                <w:szCs w:val="20"/>
              </w:rPr>
            </w:pPr>
          </w:p>
          <w:p w:rsidR="00CF3D2D" w:rsidRDefault="00CF3D2D" w:rsidP="00CF3D2D">
            <w:pPr>
              <w:numPr>
                <w:ilvl w:val="0"/>
                <w:numId w:val="2"/>
              </w:numPr>
              <w:rPr>
                <w:rFonts w:ascii="Arial" w:hAnsi="Arial" w:cs="Arial"/>
                <w:b/>
                <w:color w:val="FF0000"/>
                <w:sz w:val="20"/>
                <w:szCs w:val="20"/>
              </w:rPr>
            </w:pPr>
            <w:r>
              <w:rPr>
                <w:rFonts w:ascii="Arial" w:hAnsi="Arial" w:cs="Arial"/>
                <w:b/>
                <w:color w:val="FF0000"/>
                <w:sz w:val="20"/>
                <w:szCs w:val="20"/>
              </w:rPr>
              <w:t>Best Practices</w:t>
            </w:r>
          </w:p>
          <w:p w:rsidR="00CF3D2D" w:rsidRDefault="00CF3D2D" w:rsidP="007A4A69">
            <w:pPr>
              <w:rPr>
                <w:rFonts w:ascii="Arial" w:hAnsi="Arial" w:cs="Arial"/>
                <w:b/>
                <w:color w:val="FF0000"/>
                <w:sz w:val="20"/>
                <w:szCs w:val="20"/>
              </w:rPr>
            </w:pPr>
          </w:p>
          <w:p w:rsidR="00CF3D2D" w:rsidRPr="0070514B" w:rsidRDefault="00CF3D2D" w:rsidP="00CF3D2D">
            <w:pPr>
              <w:numPr>
                <w:ilvl w:val="0"/>
                <w:numId w:val="2"/>
              </w:numPr>
              <w:rPr>
                <w:rFonts w:ascii="Arial" w:hAnsi="Arial" w:cs="Arial"/>
                <w:b/>
                <w:color w:val="FF0000"/>
                <w:sz w:val="20"/>
                <w:szCs w:val="20"/>
              </w:rPr>
            </w:pPr>
            <w:r>
              <w:rPr>
                <w:rFonts w:ascii="Arial" w:hAnsi="Arial" w:cs="Arial"/>
                <w:b/>
                <w:color w:val="FF0000"/>
                <w:sz w:val="20"/>
                <w:szCs w:val="20"/>
              </w:rPr>
              <w:t>Outcomes</w:t>
            </w:r>
          </w:p>
          <w:p w:rsidR="00CF3D2D" w:rsidRPr="0070514B" w:rsidRDefault="00CF3D2D" w:rsidP="007A4A69">
            <w:pPr>
              <w:rPr>
                <w:rFonts w:ascii="Arial" w:hAnsi="Arial" w:cs="Arial"/>
                <w:b/>
                <w:color w:val="FF0000"/>
                <w:sz w:val="20"/>
                <w:szCs w:val="20"/>
              </w:rPr>
            </w:pPr>
          </w:p>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Pr="002E60CB" w:rsidRDefault="00CF3D2D" w:rsidP="007A4A69">
            <w:pPr>
              <w:rPr>
                <w:rFonts w:ascii="Arial" w:hAnsi="Arial" w:cs="Arial"/>
                <w:sz w:val="20"/>
                <w:szCs w:val="20"/>
              </w:rPr>
            </w:pPr>
          </w:p>
        </w:tc>
        <w:tc>
          <w:tcPr>
            <w:tcW w:w="9450" w:type="dxa"/>
            <w:tcBorders>
              <w:bottom w:val="single" w:sz="4" w:space="0" w:color="auto"/>
            </w:tcBorders>
          </w:tcPr>
          <w:p w:rsidR="00CF3D2D" w:rsidRDefault="00CF3D2D" w:rsidP="007A4A69">
            <w:pPr>
              <w:rPr>
                <w:rFonts w:ascii="Arial" w:hAnsi="Arial" w:cs="Arial"/>
              </w:rPr>
            </w:pPr>
          </w:p>
          <w:p w:rsidR="00CF3D2D" w:rsidRDefault="00554996" w:rsidP="00554707">
            <w:pPr>
              <w:pStyle w:val="ListParagraph"/>
              <w:numPr>
                <w:ilvl w:val="0"/>
                <w:numId w:val="7"/>
              </w:numPr>
              <w:rPr>
                <w:rFonts w:ascii="Arial" w:hAnsi="Arial" w:cs="Arial"/>
              </w:rPr>
            </w:pPr>
            <w:r w:rsidRPr="00554707">
              <w:rPr>
                <w:rFonts w:ascii="Arial" w:hAnsi="Arial" w:cs="Arial"/>
                <w:sz w:val="22"/>
                <w:szCs w:val="22"/>
              </w:rPr>
              <w:t xml:space="preserve">Training for claims staff continues using </w:t>
            </w:r>
            <w:r w:rsidR="00554707">
              <w:rPr>
                <w:rFonts w:ascii="Arial" w:hAnsi="Arial" w:cs="Arial"/>
                <w:sz w:val="22"/>
                <w:szCs w:val="22"/>
              </w:rPr>
              <w:t>Foundations</w:t>
            </w:r>
            <w:r w:rsidRPr="00554707">
              <w:rPr>
                <w:rFonts w:ascii="Arial" w:hAnsi="Arial" w:cs="Arial"/>
                <w:sz w:val="22"/>
                <w:szCs w:val="22"/>
              </w:rPr>
              <w:t xml:space="preserve"> of Administrative Justice and motivational interviewing.  </w:t>
            </w:r>
            <w:r w:rsidR="00554707">
              <w:rPr>
                <w:rFonts w:ascii="Arial" w:hAnsi="Arial" w:cs="Arial"/>
                <w:sz w:val="22"/>
                <w:szCs w:val="22"/>
              </w:rPr>
              <w:t xml:space="preserve">In 2014 additional training on mental health and RTW was also undertaken.  </w:t>
            </w:r>
          </w:p>
          <w:p w:rsidR="00554707" w:rsidRPr="00554707" w:rsidRDefault="00554707" w:rsidP="0029200A">
            <w:pPr>
              <w:pStyle w:val="ListParagraph"/>
              <w:rPr>
                <w:rFonts w:ascii="Arial" w:hAnsi="Arial" w:cs="Arial"/>
              </w:rPr>
            </w:pPr>
          </w:p>
        </w:tc>
        <w:tc>
          <w:tcPr>
            <w:tcW w:w="1980" w:type="dxa"/>
            <w:tcBorders>
              <w:bottom w:val="single" w:sz="4" w:space="0" w:color="auto"/>
            </w:tcBorders>
          </w:tcPr>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Default="00CF3D2D" w:rsidP="007A4A69">
            <w:pPr>
              <w:rPr>
                <w:rFonts w:ascii="Arial" w:hAnsi="Arial" w:cs="Arial"/>
                <w:b/>
                <w:color w:val="FF0000"/>
                <w:sz w:val="20"/>
                <w:szCs w:val="20"/>
              </w:rPr>
            </w:pPr>
          </w:p>
          <w:p w:rsidR="00CF3D2D" w:rsidRDefault="00CF3D2D" w:rsidP="007A4A69">
            <w:pPr>
              <w:rPr>
                <w:rFonts w:ascii="Arial" w:hAnsi="Arial" w:cs="Arial"/>
                <w:b/>
                <w:color w:val="FF0000"/>
                <w:sz w:val="20"/>
                <w:szCs w:val="20"/>
              </w:rPr>
            </w:pPr>
          </w:p>
          <w:p w:rsidR="00CF3D2D" w:rsidRPr="002E60CB" w:rsidRDefault="00CF3D2D" w:rsidP="007A4A69">
            <w:pPr>
              <w:rPr>
                <w:rFonts w:ascii="Arial" w:hAnsi="Arial" w:cs="Arial"/>
                <w:sz w:val="20"/>
                <w:szCs w:val="20"/>
              </w:rPr>
            </w:pPr>
          </w:p>
        </w:tc>
        <w:tc>
          <w:tcPr>
            <w:tcW w:w="910" w:type="dxa"/>
            <w:tcBorders>
              <w:bottom w:val="single" w:sz="4" w:space="0" w:color="auto"/>
            </w:tcBorders>
          </w:tcPr>
          <w:p w:rsidR="00CF3D2D" w:rsidRPr="002E60CB" w:rsidRDefault="00CF3D2D" w:rsidP="007A4A69">
            <w:pPr>
              <w:rPr>
                <w:rFonts w:ascii="Arial" w:hAnsi="Arial" w:cs="Arial"/>
                <w:sz w:val="20"/>
                <w:szCs w:val="20"/>
              </w:rPr>
            </w:pPr>
          </w:p>
        </w:tc>
      </w:tr>
      <w:tr w:rsidR="00CF3D2D" w:rsidRPr="002E60CB" w:rsidTr="007A4A69">
        <w:tc>
          <w:tcPr>
            <w:tcW w:w="2970" w:type="dxa"/>
            <w:tcBorders>
              <w:bottom w:val="single" w:sz="4" w:space="0" w:color="auto"/>
            </w:tcBorders>
          </w:tcPr>
          <w:p w:rsidR="00CF3D2D" w:rsidRDefault="00CF3D2D" w:rsidP="007A4A69">
            <w:pPr>
              <w:ind w:left="1287" w:hanging="567"/>
              <w:rPr>
                <w:rFonts w:ascii="Arial" w:hAnsi="Arial" w:cs="Arial"/>
                <w:b/>
                <w:sz w:val="20"/>
                <w:szCs w:val="20"/>
              </w:rPr>
            </w:pPr>
          </w:p>
          <w:p w:rsidR="00CF3D2D" w:rsidRDefault="00CF3D2D" w:rsidP="007A4A69">
            <w:pPr>
              <w:ind w:left="567" w:hanging="567"/>
              <w:rPr>
                <w:rFonts w:ascii="Arial" w:hAnsi="Arial" w:cs="Arial"/>
                <w:b/>
                <w:color w:val="FF0000"/>
                <w:sz w:val="20"/>
                <w:szCs w:val="20"/>
              </w:rPr>
            </w:pPr>
            <w:r>
              <w:rPr>
                <w:rFonts w:ascii="Arial" w:hAnsi="Arial" w:cs="Arial"/>
                <w:b/>
                <w:color w:val="FF0000"/>
                <w:sz w:val="20"/>
                <w:szCs w:val="20"/>
              </w:rPr>
              <w:t>Emerging Issues / Changes in Policy or Legislation</w:t>
            </w:r>
          </w:p>
          <w:p w:rsidR="00CF3D2D" w:rsidRDefault="00CF3D2D" w:rsidP="007A4A69">
            <w:pPr>
              <w:ind w:left="1333" w:hanging="567"/>
              <w:rPr>
                <w:rFonts w:ascii="Arial" w:hAnsi="Arial" w:cs="Arial"/>
                <w:b/>
                <w:color w:val="FF0000"/>
                <w:sz w:val="20"/>
                <w:szCs w:val="20"/>
              </w:rPr>
            </w:pPr>
          </w:p>
          <w:p w:rsidR="00CF3D2D" w:rsidRPr="0070514B" w:rsidRDefault="00CF3D2D" w:rsidP="007A4A69">
            <w:pPr>
              <w:ind w:left="590" w:hanging="567"/>
              <w:rPr>
                <w:rFonts w:ascii="Arial" w:hAnsi="Arial" w:cs="Arial"/>
                <w:b/>
                <w:color w:val="FF0000"/>
                <w:sz w:val="20"/>
                <w:szCs w:val="20"/>
              </w:rPr>
            </w:pPr>
            <w:r>
              <w:rPr>
                <w:rFonts w:ascii="Arial" w:hAnsi="Arial" w:cs="Arial"/>
                <w:b/>
                <w:color w:val="FF0000"/>
                <w:sz w:val="20"/>
                <w:szCs w:val="20"/>
              </w:rPr>
              <w:t>Share information that is related to changes in legislation, policy and other significant changes within your organization.</w:t>
            </w:r>
          </w:p>
          <w:p w:rsidR="00CF3D2D" w:rsidRDefault="00CF3D2D" w:rsidP="007A4A69">
            <w:pPr>
              <w:ind w:left="1310" w:hanging="567"/>
              <w:rPr>
                <w:rFonts w:ascii="Arial" w:hAnsi="Arial" w:cs="Arial"/>
                <w:b/>
                <w:sz w:val="20"/>
                <w:szCs w:val="20"/>
              </w:rPr>
            </w:pPr>
          </w:p>
          <w:p w:rsidR="00CF3D2D" w:rsidRDefault="00CF3D2D" w:rsidP="007A4A69">
            <w:pPr>
              <w:rPr>
                <w:rFonts w:ascii="Arial" w:hAnsi="Arial" w:cs="Arial"/>
                <w:b/>
                <w:sz w:val="20"/>
                <w:szCs w:val="20"/>
              </w:rPr>
            </w:pPr>
          </w:p>
          <w:p w:rsidR="00CF3D2D" w:rsidRDefault="00CF3D2D" w:rsidP="007A4A69">
            <w:pPr>
              <w:ind w:left="1310" w:hanging="567"/>
              <w:rPr>
                <w:rFonts w:ascii="Arial" w:hAnsi="Arial" w:cs="Arial"/>
                <w:b/>
                <w:sz w:val="20"/>
                <w:szCs w:val="20"/>
              </w:rPr>
            </w:pPr>
          </w:p>
          <w:p w:rsidR="00CF3D2D" w:rsidRDefault="00CF3D2D" w:rsidP="007A4A69">
            <w:pPr>
              <w:ind w:left="1310" w:hanging="567"/>
              <w:rPr>
                <w:rFonts w:ascii="Arial" w:hAnsi="Arial" w:cs="Arial"/>
                <w:b/>
                <w:sz w:val="20"/>
                <w:szCs w:val="20"/>
              </w:rPr>
            </w:pPr>
          </w:p>
          <w:p w:rsidR="00CF3D2D" w:rsidRDefault="00CF3D2D" w:rsidP="007A4A69">
            <w:pPr>
              <w:ind w:left="1310" w:hanging="567"/>
              <w:rPr>
                <w:rFonts w:ascii="Arial" w:hAnsi="Arial" w:cs="Arial"/>
                <w:b/>
                <w:sz w:val="20"/>
                <w:szCs w:val="20"/>
              </w:rPr>
            </w:pPr>
          </w:p>
          <w:p w:rsidR="00CF3D2D" w:rsidRDefault="00CF3D2D" w:rsidP="007A4A69">
            <w:pPr>
              <w:ind w:left="1310" w:hanging="567"/>
              <w:rPr>
                <w:rFonts w:ascii="Arial" w:hAnsi="Arial" w:cs="Arial"/>
                <w:b/>
                <w:sz w:val="20"/>
                <w:szCs w:val="20"/>
              </w:rPr>
            </w:pPr>
          </w:p>
          <w:p w:rsidR="00CF3D2D" w:rsidRDefault="00CF3D2D" w:rsidP="007A4A69">
            <w:pPr>
              <w:ind w:left="1310" w:hanging="567"/>
              <w:rPr>
                <w:rFonts w:ascii="Arial" w:hAnsi="Arial" w:cs="Arial"/>
                <w:b/>
                <w:sz w:val="20"/>
                <w:szCs w:val="20"/>
              </w:rPr>
            </w:pPr>
          </w:p>
          <w:p w:rsidR="00CF3D2D" w:rsidRDefault="00CF3D2D" w:rsidP="007A4A69">
            <w:pPr>
              <w:ind w:left="1310" w:hanging="567"/>
              <w:rPr>
                <w:rFonts w:ascii="Arial" w:hAnsi="Arial" w:cs="Arial"/>
                <w:b/>
                <w:sz w:val="20"/>
                <w:szCs w:val="20"/>
              </w:rPr>
            </w:pPr>
          </w:p>
          <w:p w:rsidR="00CF3D2D" w:rsidRPr="00E550B8" w:rsidRDefault="00CF3D2D" w:rsidP="007A4A69">
            <w:pPr>
              <w:ind w:left="1310" w:hanging="567"/>
              <w:rPr>
                <w:rFonts w:ascii="Arial" w:hAnsi="Arial" w:cs="Arial"/>
                <w:b/>
                <w:sz w:val="20"/>
                <w:szCs w:val="20"/>
              </w:rPr>
            </w:pPr>
          </w:p>
        </w:tc>
        <w:tc>
          <w:tcPr>
            <w:tcW w:w="9450" w:type="dxa"/>
            <w:tcBorders>
              <w:bottom w:val="single" w:sz="4" w:space="0" w:color="auto"/>
            </w:tcBorders>
          </w:tcPr>
          <w:p w:rsidR="00CF3D2D" w:rsidRDefault="00CF3D2D" w:rsidP="007A4A69">
            <w:pPr>
              <w:rPr>
                <w:rFonts w:ascii="Arial" w:hAnsi="Arial" w:cs="Arial"/>
                <w:b/>
              </w:rPr>
            </w:pPr>
          </w:p>
          <w:p w:rsidR="00CF3D2D" w:rsidRPr="00F44D8E" w:rsidRDefault="00F44D8E" w:rsidP="00F44D8E">
            <w:pPr>
              <w:pStyle w:val="ListParagraph"/>
              <w:numPr>
                <w:ilvl w:val="0"/>
                <w:numId w:val="5"/>
              </w:numPr>
              <w:rPr>
                <w:rFonts w:ascii="Arial" w:hAnsi="Arial" w:cs="Arial"/>
              </w:rPr>
            </w:pPr>
            <w:r w:rsidRPr="00F44D8E">
              <w:rPr>
                <w:rFonts w:ascii="Arial" w:hAnsi="Arial" w:cs="Arial"/>
                <w:sz w:val="22"/>
                <w:szCs w:val="22"/>
              </w:rPr>
              <w:t>P</w:t>
            </w:r>
            <w:r w:rsidR="00122D4A" w:rsidRPr="00F44D8E">
              <w:rPr>
                <w:rFonts w:ascii="Arial" w:hAnsi="Arial" w:cs="Arial"/>
                <w:sz w:val="22"/>
                <w:szCs w:val="22"/>
              </w:rPr>
              <w:t>olicy on psychological treatment</w:t>
            </w:r>
            <w:r w:rsidRPr="00F44D8E">
              <w:rPr>
                <w:rFonts w:ascii="Arial" w:hAnsi="Arial" w:cs="Arial"/>
                <w:sz w:val="22"/>
                <w:szCs w:val="22"/>
              </w:rPr>
              <w:t xml:space="preserve"> came into effect in 2013 and implementation continues</w:t>
            </w:r>
            <w:r w:rsidR="00122D4A" w:rsidRPr="00F44D8E">
              <w:rPr>
                <w:rFonts w:ascii="Arial" w:hAnsi="Arial" w:cs="Arial"/>
                <w:sz w:val="22"/>
                <w:szCs w:val="22"/>
              </w:rPr>
              <w:t xml:space="preserve">.  This policy was needed to increase mechanisms for concluding psychological treatment when the treatment is not assisting workers to return to work and treatment has no </w:t>
            </w:r>
            <w:r w:rsidRPr="00F44D8E">
              <w:rPr>
                <w:rFonts w:ascii="Arial" w:hAnsi="Arial" w:cs="Arial"/>
                <w:sz w:val="22"/>
                <w:szCs w:val="22"/>
              </w:rPr>
              <w:t xml:space="preserve">goals or an </w:t>
            </w:r>
            <w:r w:rsidR="00122D4A" w:rsidRPr="00F44D8E">
              <w:rPr>
                <w:rFonts w:ascii="Arial" w:hAnsi="Arial" w:cs="Arial"/>
                <w:sz w:val="22"/>
                <w:szCs w:val="22"/>
              </w:rPr>
              <w:t xml:space="preserve">end date.  We have had cases where counselling has continued for </w:t>
            </w:r>
            <w:r w:rsidR="00CE3296" w:rsidRPr="00F44D8E">
              <w:rPr>
                <w:rFonts w:ascii="Arial" w:hAnsi="Arial" w:cs="Arial"/>
                <w:sz w:val="22"/>
                <w:szCs w:val="22"/>
              </w:rPr>
              <w:t xml:space="preserve">years with no appreciable change.  Implementation has involved engaging our service providers in education, form development and why our priorities may be different from theirs in treatment endeavors.  </w:t>
            </w:r>
          </w:p>
          <w:p w:rsidR="00F44D8E" w:rsidRDefault="00F44D8E" w:rsidP="007A4A69">
            <w:pPr>
              <w:rPr>
                <w:rFonts w:ascii="Arial" w:hAnsi="Arial" w:cs="Arial"/>
              </w:rPr>
            </w:pPr>
          </w:p>
          <w:p w:rsidR="00CF3D2D" w:rsidRPr="00F44D8E" w:rsidRDefault="00F44D8E" w:rsidP="00F44D8E">
            <w:pPr>
              <w:pStyle w:val="ListParagraph"/>
              <w:numPr>
                <w:ilvl w:val="0"/>
                <w:numId w:val="5"/>
              </w:numPr>
              <w:rPr>
                <w:rFonts w:ascii="Arial" w:hAnsi="Arial" w:cs="Arial"/>
              </w:rPr>
            </w:pPr>
            <w:r w:rsidRPr="00F44D8E">
              <w:rPr>
                <w:rFonts w:ascii="Arial" w:hAnsi="Arial" w:cs="Arial"/>
                <w:sz w:val="22"/>
                <w:szCs w:val="22"/>
              </w:rPr>
              <w:t>10 ten reasons for amendments to the Workers Compensation Act and the Occupational Health and Safety Act and potential amalgamation of these act has been presented to the Minister responsible for consideration</w:t>
            </w:r>
            <w:r>
              <w:rPr>
                <w:rFonts w:ascii="Arial" w:hAnsi="Arial" w:cs="Arial"/>
                <w:sz w:val="22"/>
                <w:szCs w:val="22"/>
              </w:rPr>
              <w:t xml:space="preserve">.  Our mandate is preventing disability on both the claims and health and safety operations of the business.  Our OHS legislation is so out dated that it does not support our mandate and we find great value in </w:t>
            </w:r>
            <w:r w:rsidR="00BE6475">
              <w:rPr>
                <w:rFonts w:ascii="Arial" w:hAnsi="Arial" w:cs="Arial"/>
                <w:sz w:val="22"/>
                <w:szCs w:val="22"/>
              </w:rPr>
              <w:t xml:space="preserve">claimant services </w:t>
            </w:r>
            <w:r>
              <w:rPr>
                <w:rFonts w:ascii="Arial" w:hAnsi="Arial" w:cs="Arial"/>
                <w:sz w:val="22"/>
                <w:szCs w:val="22"/>
              </w:rPr>
              <w:t xml:space="preserve">working closely with health and safety on prevention.  </w:t>
            </w:r>
          </w:p>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Pr="00DB7271" w:rsidRDefault="00CF3D2D" w:rsidP="007A4A69">
            <w:pPr>
              <w:rPr>
                <w:rFonts w:ascii="Arial" w:hAnsi="Arial" w:cs="Arial"/>
                <w:sz w:val="20"/>
                <w:szCs w:val="20"/>
              </w:rPr>
            </w:pPr>
          </w:p>
        </w:tc>
        <w:tc>
          <w:tcPr>
            <w:tcW w:w="1980" w:type="dxa"/>
            <w:tcBorders>
              <w:bottom w:val="single" w:sz="4" w:space="0" w:color="auto"/>
            </w:tcBorders>
          </w:tcPr>
          <w:p w:rsidR="00CF3D2D" w:rsidRPr="00686B57" w:rsidRDefault="00CF3D2D" w:rsidP="007A4A69">
            <w:pPr>
              <w:rPr>
                <w:rFonts w:ascii="Arial" w:hAnsi="Arial" w:cs="Arial"/>
                <w:sz w:val="20"/>
                <w:szCs w:val="20"/>
              </w:rPr>
            </w:pPr>
          </w:p>
        </w:tc>
        <w:tc>
          <w:tcPr>
            <w:tcW w:w="910" w:type="dxa"/>
            <w:tcBorders>
              <w:bottom w:val="single" w:sz="4" w:space="0" w:color="auto"/>
            </w:tcBorders>
          </w:tcPr>
          <w:p w:rsidR="00CF3D2D" w:rsidRDefault="00CF3D2D" w:rsidP="007A4A69">
            <w:pPr>
              <w:rPr>
                <w:rFonts w:ascii="Arial" w:hAnsi="Arial" w:cs="Arial"/>
                <w:sz w:val="20"/>
                <w:szCs w:val="20"/>
              </w:rPr>
            </w:pPr>
          </w:p>
          <w:p w:rsidR="00CF3D2D" w:rsidRPr="002E60CB" w:rsidRDefault="00CF3D2D" w:rsidP="007A4A69">
            <w:pPr>
              <w:rPr>
                <w:rFonts w:ascii="Arial" w:hAnsi="Arial" w:cs="Arial"/>
                <w:sz w:val="20"/>
                <w:szCs w:val="20"/>
              </w:rPr>
            </w:pPr>
          </w:p>
        </w:tc>
      </w:tr>
      <w:tr w:rsidR="00CF3D2D" w:rsidRPr="002E60CB" w:rsidTr="007A4A69">
        <w:tc>
          <w:tcPr>
            <w:tcW w:w="2970" w:type="dxa"/>
            <w:tcBorders>
              <w:bottom w:val="single" w:sz="4" w:space="0" w:color="auto"/>
            </w:tcBorders>
          </w:tcPr>
          <w:p w:rsidR="00CF3D2D" w:rsidRDefault="00CF3D2D" w:rsidP="007A4A69">
            <w:pPr>
              <w:rPr>
                <w:rFonts w:ascii="Arial" w:hAnsi="Arial" w:cs="Arial"/>
                <w:sz w:val="20"/>
                <w:szCs w:val="20"/>
              </w:rPr>
            </w:pPr>
          </w:p>
          <w:p w:rsidR="00CF3D2D" w:rsidRPr="00CD7FCB" w:rsidRDefault="00CF3D2D" w:rsidP="007A4A69">
            <w:pPr>
              <w:rPr>
                <w:rFonts w:ascii="Arial" w:hAnsi="Arial" w:cs="Arial"/>
                <w:b/>
                <w:color w:val="FF0000"/>
                <w:sz w:val="20"/>
                <w:szCs w:val="20"/>
              </w:rPr>
            </w:pPr>
            <w:r>
              <w:rPr>
                <w:rFonts w:ascii="Arial" w:hAnsi="Arial" w:cs="Arial"/>
                <w:b/>
                <w:color w:val="FF0000"/>
                <w:sz w:val="20"/>
                <w:szCs w:val="20"/>
              </w:rPr>
              <w:t xml:space="preserve">Shared information / opportunities </w:t>
            </w:r>
          </w:p>
          <w:p w:rsidR="00CF3D2D" w:rsidRPr="008C08DA" w:rsidRDefault="00CF3D2D" w:rsidP="007A4A69">
            <w:pPr>
              <w:ind w:left="1350" w:hanging="360"/>
              <w:rPr>
                <w:rFonts w:ascii="Arial" w:hAnsi="Arial" w:cs="Arial"/>
                <w:sz w:val="20"/>
                <w:szCs w:val="20"/>
              </w:rPr>
            </w:pPr>
          </w:p>
          <w:p w:rsidR="00CF3D2D" w:rsidRPr="008C08DA" w:rsidRDefault="00CF3D2D" w:rsidP="007A4A69">
            <w:pPr>
              <w:ind w:left="1350"/>
              <w:rPr>
                <w:rFonts w:ascii="Arial" w:hAnsi="Arial" w:cs="Arial"/>
                <w:sz w:val="20"/>
                <w:szCs w:val="20"/>
              </w:rPr>
            </w:pPr>
          </w:p>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Pr="00CD7FCB" w:rsidRDefault="00CF3D2D" w:rsidP="007A4A69">
            <w:pPr>
              <w:rPr>
                <w:rFonts w:ascii="Arial" w:hAnsi="Arial" w:cs="Arial"/>
                <w:b/>
                <w:color w:val="FF0000"/>
                <w:sz w:val="20"/>
                <w:szCs w:val="20"/>
              </w:rPr>
            </w:pPr>
            <w:r>
              <w:rPr>
                <w:rFonts w:ascii="Arial" w:hAnsi="Arial" w:cs="Arial"/>
                <w:b/>
                <w:color w:val="FF0000"/>
                <w:sz w:val="20"/>
                <w:szCs w:val="20"/>
              </w:rPr>
              <w:t xml:space="preserve">Additional Information / Items </w:t>
            </w:r>
          </w:p>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Default="00CF3D2D" w:rsidP="007A4A69">
            <w:pPr>
              <w:rPr>
                <w:rFonts w:ascii="Arial" w:hAnsi="Arial" w:cs="Arial"/>
                <w:sz w:val="20"/>
                <w:szCs w:val="20"/>
              </w:rPr>
            </w:pPr>
          </w:p>
          <w:p w:rsidR="00CF3D2D" w:rsidRPr="00DB7271" w:rsidRDefault="00CF3D2D" w:rsidP="007A4A69">
            <w:pPr>
              <w:rPr>
                <w:rFonts w:ascii="Arial" w:hAnsi="Arial" w:cs="Arial"/>
                <w:sz w:val="20"/>
                <w:szCs w:val="20"/>
              </w:rPr>
            </w:pPr>
          </w:p>
          <w:p w:rsidR="00CF3D2D" w:rsidRPr="0017069C" w:rsidRDefault="00CF3D2D" w:rsidP="007A4A69">
            <w:pPr>
              <w:rPr>
                <w:rFonts w:ascii="Arial" w:hAnsi="Arial" w:cs="Arial"/>
                <w:sz w:val="20"/>
                <w:szCs w:val="20"/>
              </w:rPr>
            </w:pPr>
          </w:p>
        </w:tc>
        <w:tc>
          <w:tcPr>
            <w:tcW w:w="9450" w:type="dxa"/>
            <w:tcBorders>
              <w:bottom w:val="single" w:sz="4" w:space="0" w:color="auto"/>
            </w:tcBorders>
          </w:tcPr>
          <w:p w:rsidR="00CF3D2D" w:rsidRPr="00B836A7" w:rsidRDefault="00CF3D2D" w:rsidP="007A4A69">
            <w:pPr>
              <w:rPr>
                <w:rFonts w:ascii="Arial" w:hAnsi="Arial" w:cs="Arial"/>
              </w:rPr>
            </w:pPr>
          </w:p>
          <w:p w:rsidR="00CF3D2D" w:rsidRDefault="00454182" w:rsidP="007A4A69">
            <w:pPr>
              <w:rPr>
                <w:rFonts w:ascii="Arial" w:hAnsi="Arial" w:cs="Arial"/>
              </w:rPr>
            </w:pPr>
            <w:r>
              <w:rPr>
                <w:rFonts w:ascii="Arial" w:hAnsi="Arial" w:cs="Arial"/>
              </w:rPr>
              <w:t>RTW Indicators</w:t>
            </w:r>
          </w:p>
          <w:p w:rsidR="00454182" w:rsidRDefault="00454182" w:rsidP="00454182">
            <w:pPr>
              <w:pStyle w:val="ListParagraph"/>
              <w:numPr>
                <w:ilvl w:val="0"/>
                <w:numId w:val="8"/>
              </w:numPr>
              <w:rPr>
                <w:rFonts w:ascii="Arial" w:hAnsi="Arial" w:cs="Arial"/>
              </w:rPr>
            </w:pPr>
            <w:r>
              <w:rPr>
                <w:rFonts w:ascii="Arial" w:hAnsi="Arial" w:cs="Arial"/>
              </w:rPr>
              <w:t>Time to decision average for 2013 is 13 days</w:t>
            </w:r>
          </w:p>
          <w:p w:rsidR="00454182" w:rsidRDefault="00454182" w:rsidP="00454182">
            <w:pPr>
              <w:pStyle w:val="ListParagraph"/>
              <w:numPr>
                <w:ilvl w:val="0"/>
                <w:numId w:val="8"/>
              </w:numPr>
              <w:rPr>
                <w:rFonts w:ascii="Arial" w:hAnsi="Arial" w:cs="Arial"/>
              </w:rPr>
            </w:pPr>
            <w:r>
              <w:rPr>
                <w:rFonts w:ascii="Arial" w:hAnsi="Arial" w:cs="Arial"/>
              </w:rPr>
              <w:t xml:space="preserve">STD 80% </w:t>
            </w:r>
            <w:proofErr w:type="spellStart"/>
            <w:r>
              <w:rPr>
                <w:rFonts w:ascii="Arial" w:hAnsi="Arial" w:cs="Arial"/>
              </w:rPr>
              <w:t>rtw</w:t>
            </w:r>
            <w:proofErr w:type="spellEnd"/>
            <w:r>
              <w:rPr>
                <w:rFonts w:ascii="Arial" w:hAnsi="Arial" w:cs="Arial"/>
              </w:rPr>
              <w:t xml:space="preserve"> within 90 days</w:t>
            </w:r>
          </w:p>
          <w:p w:rsidR="00454182" w:rsidRDefault="00454182" w:rsidP="00454182">
            <w:pPr>
              <w:pStyle w:val="ListParagraph"/>
              <w:numPr>
                <w:ilvl w:val="0"/>
                <w:numId w:val="8"/>
              </w:numPr>
              <w:rPr>
                <w:rFonts w:ascii="Arial" w:hAnsi="Arial" w:cs="Arial"/>
              </w:rPr>
            </w:pPr>
            <w:r>
              <w:rPr>
                <w:rFonts w:ascii="Arial" w:hAnsi="Arial" w:cs="Arial"/>
              </w:rPr>
              <w:t xml:space="preserve">LTD 90% </w:t>
            </w:r>
            <w:proofErr w:type="spellStart"/>
            <w:r>
              <w:rPr>
                <w:rFonts w:ascii="Arial" w:hAnsi="Arial" w:cs="Arial"/>
              </w:rPr>
              <w:t>rtw</w:t>
            </w:r>
            <w:proofErr w:type="spellEnd"/>
            <w:r>
              <w:rPr>
                <w:rFonts w:ascii="Arial" w:hAnsi="Arial" w:cs="Arial"/>
              </w:rPr>
              <w:t xml:space="preserve"> within 360 days</w:t>
            </w:r>
          </w:p>
          <w:p w:rsidR="00454182" w:rsidRDefault="00454182" w:rsidP="00454182">
            <w:pPr>
              <w:pStyle w:val="ListParagraph"/>
              <w:numPr>
                <w:ilvl w:val="0"/>
                <w:numId w:val="8"/>
              </w:numPr>
              <w:rPr>
                <w:rFonts w:ascii="Arial" w:hAnsi="Arial" w:cs="Arial"/>
              </w:rPr>
            </w:pPr>
            <w:r>
              <w:rPr>
                <w:rFonts w:ascii="Arial" w:hAnsi="Arial" w:cs="Arial"/>
              </w:rPr>
              <w:t>These outcomes were consistent throughout 2013.</w:t>
            </w:r>
          </w:p>
          <w:p w:rsidR="009B38EC" w:rsidRDefault="009B38EC" w:rsidP="009B38EC">
            <w:pPr>
              <w:rPr>
                <w:rFonts w:ascii="Arial" w:hAnsi="Arial" w:cs="Arial"/>
              </w:rPr>
            </w:pPr>
          </w:p>
          <w:p w:rsidR="009B38EC" w:rsidRDefault="009B38EC" w:rsidP="009B38EC">
            <w:pPr>
              <w:rPr>
                <w:rFonts w:ascii="Arial" w:hAnsi="Arial" w:cs="Arial"/>
              </w:rPr>
            </w:pPr>
          </w:p>
          <w:p w:rsidR="009B38EC" w:rsidRPr="009B38EC" w:rsidRDefault="009B38EC" w:rsidP="009B38EC">
            <w:pPr>
              <w:rPr>
                <w:rFonts w:ascii="Arial" w:hAnsi="Arial" w:cs="Arial"/>
              </w:rPr>
            </w:pPr>
          </w:p>
          <w:p w:rsidR="00CF3D2D" w:rsidRDefault="00CF3D2D" w:rsidP="007A4A69">
            <w:pPr>
              <w:rPr>
                <w:rFonts w:ascii="Arial" w:hAnsi="Arial" w:cs="Arial"/>
              </w:rPr>
            </w:pPr>
          </w:p>
          <w:p w:rsidR="00CF3D2D" w:rsidRDefault="00CF3D2D" w:rsidP="007A4A69">
            <w:pPr>
              <w:rPr>
                <w:rFonts w:ascii="Arial" w:hAnsi="Arial" w:cs="Arial"/>
              </w:rPr>
            </w:pPr>
          </w:p>
          <w:p w:rsidR="00CF3D2D" w:rsidRDefault="00CF3D2D" w:rsidP="007A4A69">
            <w:pPr>
              <w:rPr>
                <w:rFonts w:ascii="Latin725BT-Roman" w:hAnsi="Latin725BT-Roman" w:cs="Latin725BT-Roman"/>
                <w:sz w:val="20"/>
                <w:szCs w:val="20"/>
                <w:lang w:val="en-US" w:eastAsia="en-CA"/>
              </w:rPr>
            </w:pPr>
          </w:p>
          <w:p w:rsidR="00CF3D2D" w:rsidRPr="006A73C7" w:rsidRDefault="00CF3D2D" w:rsidP="007A4A69">
            <w:pPr>
              <w:rPr>
                <w:rFonts w:ascii="Arial" w:hAnsi="Arial" w:cs="Arial"/>
              </w:rPr>
            </w:pPr>
          </w:p>
        </w:tc>
        <w:tc>
          <w:tcPr>
            <w:tcW w:w="1980" w:type="dxa"/>
            <w:tcBorders>
              <w:bottom w:val="single" w:sz="4" w:space="0" w:color="auto"/>
            </w:tcBorders>
          </w:tcPr>
          <w:p w:rsidR="00CF3D2D" w:rsidRPr="00384833" w:rsidRDefault="00CF3D2D" w:rsidP="007A4A69">
            <w:pPr>
              <w:spacing w:before="120"/>
              <w:rPr>
                <w:rFonts w:ascii="Arial" w:hAnsi="Arial" w:cs="Arial"/>
                <w:sz w:val="20"/>
                <w:szCs w:val="20"/>
              </w:rPr>
            </w:pPr>
          </w:p>
        </w:tc>
        <w:tc>
          <w:tcPr>
            <w:tcW w:w="910" w:type="dxa"/>
            <w:tcBorders>
              <w:bottom w:val="single" w:sz="4" w:space="0" w:color="auto"/>
            </w:tcBorders>
          </w:tcPr>
          <w:p w:rsidR="00CF3D2D" w:rsidRPr="002E60CB" w:rsidRDefault="00CF3D2D" w:rsidP="007A4A69">
            <w:pPr>
              <w:rPr>
                <w:rFonts w:ascii="Arial" w:hAnsi="Arial" w:cs="Arial"/>
                <w:sz w:val="20"/>
                <w:szCs w:val="20"/>
              </w:rPr>
            </w:pPr>
          </w:p>
        </w:tc>
      </w:tr>
    </w:tbl>
    <w:p w:rsidR="00CF3D2D" w:rsidRDefault="00CF3D2D" w:rsidP="00CF3D2D"/>
    <w:p w:rsidR="00A344AE" w:rsidRDefault="00A344AE"/>
    <w:sectPr w:rsidR="00A344AE" w:rsidSect="007A4A69">
      <w:pgSz w:w="15840" w:h="12240" w:orient="landscape"/>
      <w:pgMar w:top="284" w:right="247" w:bottom="284" w:left="28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ani">
    <w:panose1 w:val="020B0502040204020203"/>
    <w:charset w:val="00"/>
    <w:family w:val="swiss"/>
    <w:pitch w:val="variable"/>
    <w:sig w:usb0="00200003" w:usb1="00000000" w:usb2="00000000" w:usb3="00000000" w:csb0="00000001" w:csb1="00000000"/>
  </w:font>
  <w:font w:name="Latin725BT-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44B"/>
    <w:multiLevelType w:val="hybridMultilevel"/>
    <w:tmpl w:val="76808E94"/>
    <w:lvl w:ilvl="0" w:tplc="5F92F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00366B"/>
    <w:multiLevelType w:val="hybridMultilevel"/>
    <w:tmpl w:val="EA6E46C8"/>
    <w:lvl w:ilvl="0" w:tplc="C47A1E00">
      <w:start w:val="1"/>
      <w:numFmt w:val="bullet"/>
      <w:lvlText w:val=""/>
      <w:lvlJc w:val="left"/>
      <w:pPr>
        <w:tabs>
          <w:tab w:val="num" w:pos="720"/>
        </w:tabs>
        <w:ind w:left="720" w:hanging="360"/>
      </w:pPr>
      <w:rPr>
        <w:rFonts w:ascii="Wingdings 2" w:hAnsi="Wingdings 2" w:hint="default"/>
      </w:rPr>
    </w:lvl>
    <w:lvl w:ilvl="1" w:tplc="2DF21698" w:tentative="1">
      <w:start w:val="1"/>
      <w:numFmt w:val="bullet"/>
      <w:lvlText w:val=""/>
      <w:lvlJc w:val="left"/>
      <w:pPr>
        <w:tabs>
          <w:tab w:val="num" w:pos="1440"/>
        </w:tabs>
        <w:ind w:left="1440" w:hanging="360"/>
      </w:pPr>
      <w:rPr>
        <w:rFonts w:ascii="Wingdings 2" w:hAnsi="Wingdings 2" w:hint="default"/>
      </w:rPr>
    </w:lvl>
    <w:lvl w:ilvl="2" w:tplc="2EAAB086" w:tentative="1">
      <w:start w:val="1"/>
      <w:numFmt w:val="bullet"/>
      <w:lvlText w:val=""/>
      <w:lvlJc w:val="left"/>
      <w:pPr>
        <w:tabs>
          <w:tab w:val="num" w:pos="2160"/>
        </w:tabs>
        <w:ind w:left="2160" w:hanging="360"/>
      </w:pPr>
      <w:rPr>
        <w:rFonts w:ascii="Wingdings 2" w:hAnsi="Wingdings 2" w:hint="default"/>
      </w:rPr>
    </w:lvl>
    <w:lvl w:ilvl="3" w:tplc="96387F84" w:tentative="1">
      <w:start w:val="1"/>
      <w:numFmt w:val="bullet"/>
      <w:lvlText w:val=""/>
      <w:lvlJc w:val="left"/>
      <w:pPr>
        <w:tabs>
          <w:tab w:val="num" w:pos="2880"/>
        </w:tabs>
        <w:ind w:left="2880" w:hanging="360"/>
      </w:pPr>
      <w:rPr>
        <w:rFonts w:ascii="Wingdings 2" w:hAnsi="Wingdings 2" w:hint="default"/>
      </w:rPr>
    </w:lvl>
    <w:lvl w:ilvl="4" w:tplc="93BE5776" w:tentative="1">
      <w:start w:val="1"/>
      <w:numFmt w:val="bullet"/>
      <w:lvlText w:val=""/>
      <w:lvlJc w:val="left"/>
      <w:pPr>
        <w:tabs>
          <w:tab w:val="num" w:pos="3600"/>
        </w:tabs>
        <w:ind w:left="3600" w:hanging="360"/>
      </w:pPr>
      <w:rPr>
        <w:rFonts w:ascii="Wingdings 2" w:hAnsi="Wingdings 2" w:hint="default"/>
      </w:rPr>
    </w:lvl>
    <w:lvl w:ilvl="5" w:tplc="A8C4DC4C" w:tentative="1">
      <w:start w:val="1"/>
      <w:numFmt w:val="bullet"/>
      <w:lvlText w:val=""/>
      <w:lvlJc w:val="left"/>
      <w:pPr>
        <w:tabs>
          <w:tab w:val="num" w:pos="4320"/>
        </w:tabs>
        <w:ind w:left="4320" w:hanging="360"/>
      </w:pPr>
      <w:rPr>
        <w:rFonts w:ascii="Wingdings 2" w:hAnsi="Wingdings 2" w:hint="default"/>
      </w:rPr>
    </w:lvl>
    <w:lvl w:ilvl="6" w:tplc="0FAA30FE" w:tentative="1">
      <w:start w:val="1"/>
      <w:numFmt w:val="bullet"/>
      <w:lvlText w:val=""/>
      <w:lvlJc w:val="left"/>
      <w:pPr>
        <w:tabs>
          <w:tab w:val="num" w:pos="5040"/>
        </w:tabs>
        <w:ind w:left="5040" w:hanging="360"/>
      </w:pPr>
      <w:rPr>
        <w:rFonts w:ascii="Wingdings 2" w:hAnsi="Wingdings 2" w:hint="default"/>
      </w:rPr>
    </w:lvl>
    <w:lvl w:ilvl="7" w:tplc="1020E64E" w:tentative="1">
      <w:start w:val="1"/>
      <w:numFmt w:val="bullet"/>
      <w:lvlText w:val=""/>
      <w:lvlJc w:val="left"/>
      <w:pPr>
        <w:tabs>
          <w:tab w:val="num" w:pos="5760"/>
        </w:tabs>
        <w:ind w:left="5760" w:hanging="360"/>
      </w:pPr>
      <w:rPr>
        <w:rFonts w:ascii="Wingdings 2" w:hAnsi="Wingdings 2" w:hint="default"/>
      </w:rPr>
    </w:lvl>
    <w:lvl w:ilvl="8" w:tplc="EAA0A01E" w:tentative="1">
      <w:start w:val="1"/>
      <w:numFmt w:val="bullet"/>
      <w:lvlText w:val=""/>
      <w:lvlJc w:val="left"/>
      <w:pPr>
        <w:tabs>
          <w:tab w:val="num" w:pos="6480"/>
        </w:tabs>
        <w:ind w:left="6480" w:hanging="360"/>
      </w:pPr>
      <w:rPr>
        <w:rFonts w:ascii="Wingdings 2" w:hAnsi="Wingdings 2" w:hint="default"/>
      </w:rPr>
    </w:lvl>
  </w:abstractNum>
  <w:abstractNum w:abstractNumId="2">
    <w:nsid w:val="140C34F4"/>
    <w:multiLevelType w:val="hybridMultilevel"/>
    <w:tmpl w:val="F7F29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7DE18A9"/>
    <w:multiLevelType w:val="hybridMultilevel"/>
    <w:tmpl w:val="78E0B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48B7C41"/>
    <w:multiLevelType w:val="hybridMultilevel"/>
    <w:tmpl w:val="4BB8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D2C80"/>
    <w:multiLevelType w:val="hybridMultilevel"/>
    <w:tmpl w:val="EBDCE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55A453F"/>
    <w:multiLevelType w:val="hybridMultilevel"/>
    <w:tmpl w:val="B91A91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81B7D94"/>
    <w:multiLevelType w:val="hybridMultilevel"/>
    <w:tmpl w:val="42DA0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6"/>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16"/>
  <w:proofState w:spelling="clean" w:grammar="clean"/>
  <w:defaultTabStop w:val="720"/>
  <w:characterSpacingControl w:val="doNotCompress"/>
  <w:compat/>
  <w:docVars>
    <w:docVar w:name="_AMO_XmlVersion" w:val="Empty"/>
  </w:docVars>
  <w:rsids>
    <w:rsidRoot w:val="00CF3D2D"/>
    <w:rsid w:val="00122D4A"/>
    <w:rsid w:val="001F7426"/>
    <w:rsid w:val="0029200A"/>
    <w:rsid w:val="00454182"/>
    <w:rsid w:val="004F25C8"/>
    <w:rsid w:val="00514D69"/>
    <w:rsid w:val="00554707"/>
    <w:rsid w:val="00554996"/>
    <w:rsid w:val="00787AB1"/>
    <w:rsid w:val="007A45F6"/>
    <w:rsid w:val="007A4A69"/>
    <w:rsid w:val="007D0B6B"/>
    <w:rsid w:val="0089708C"/>
    <w:rsid w:val="008C0562"/>
    <w:rsid w:val="00974AF9"/>
    <w:rsid w:val="009B38EC"/>
    <w:rsid w:val="00A344AE"/>
    <w:rsid w:val="00BE6475"/>
    <w:rsid w:val="00CD015D"/>
    <w:rsid w:val="00CE3296"/>
    <w:rsid w:val="00CF3D2D"/>
    <w:rsid w:val="00D9474B"/>
    <w:rsid w:val="00F44D8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D2D"/>
    <w:pPr>
      <w:spacing w:after="0" w:line="240" w:lineRule="auto"/>
    </w:pPr>
  </w:style>
  <w:style w:type="table" w:styleId="TableGrid">
    <w:name w:val="Table Grid"/>
    <w:basedOn w:val="TableNormal"/>
    <w:uiPriority w:val="59"/>
    <w:rsid w:val="00CF3D2D"/>
    <w:pPr>
      <w:spacing w:after="0" w:line="240" w:lineRule="auto"/>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474B"/>
    <w:rPr>
      <w:rFonts w:ascii="Tahoma" w:hAnsi="Tahoma" w:cs="Tahoma"/>
      <w:sz w:val="16"/>
      <w:szCs w:val="16"/>
    </w:rPr>
  </w:style>
  <w:style w:type="character" w:customStyle="1" w:styleId="BalloonTextChar">
    <w:name w:val="Balloon Text Char"/>
    <w:basedOn w:val="DefaultParagraphFont"/>
    <w:link w:val="BalloonText"/>
    <w:uiPriority w:val="99"/>
    <w:semiHidden/>
    <w:rsid w:val="00D9474B"/>
    <w:rPr>
      <w:rFonts w:ascii="Tahoma" w:eastAsia="Times New Roman" w:hAnsi="Tahoma" w:cs="Tahoma"/>
      <w:sz w:val="16"/>
      <w:szCs w:val="16"/>
    </w:rPr>
  </w:style>
  <w:style w:type="paragraph" w:styleId="ListParagraph">
    <w:name w:val="List Paragraph"/>
    <w:basedOn w:val="Normal"/>
    <w:uiPriority w:val="34"/>
    <w:qFormat/>
    <w:rsid w:val="00F44D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YWCHSB</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kbraniga</dc:creator>
  <cp:lastModifiedBy>kbraniga</cp:lastModifiedBy>
  <cp:revision>18</cp:revision>
  <dcterms:created xsi:type="dcterms:W3CDTF">2014-04-17T17:49:00Z</dcterms:created>
  <dcterms:modified xsi:type="dcterms:W3CDTF">2014-04-22T22:13:00Z</dcterms:modified>
</cp:coreProperties>
</file>