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1580" w:rsidRPr="00AD7704" w:rsidRDefault="00151580" w:rsidP="00151580">
      <w:pPr>
        <w:pStyle w:val="Heading1"/>
        <w:spacing w:before="0"/>
        <w:rPr>
          <w:szCs w:val="22"/>
          <w:lang w:val="fr-CA"/>
        </w:rPr>
      </w:pPr>
      <w:bookmarkStart w:id="0" w:name="_GoBack"/>
      <w:bookmarkEnd w:id="0"/>
      <w:r w:rsidRPr="00AD7704">
        <w:rPr>
          <w:szCs w:val="22"/>
          <w:lang w:val="en-CA"/>
        </w:rPr>
        <w:t>Jurisdictional</w:t>
      </w:r>
      <w:r w:rsidRPr="00AD7704">
        <w:rPr>
          <w:szCs w:val="22"/>
          <w:lang w:val="fr-CA"/>
        </w:rPr>
        <w:t xml:space="preserve"> High</w:t>
      </w:r>
      <w:r w:rsidR="00E312CD">
        <w:rPr>
          <w:szCs w:val="22"/>
          <w:lang w:val="fr-CA"/>
        </w:rPr>
        <w:t>-</w:t>
      </w:r>
      <w:r w:rsidRPr="00AD7704">
        <w:rPr>
          <w:szCs w:val="22"/>
          <w:lang w:val="fr-CA"/>
        </w:rPr>
        <w:t>lights Report/</w:t>
      </w:r>
      <w:r w:rsidRPr="00AD7704">
        <w:rPr>
          <w:szCs w:val="22"/>
          <w:lang w:val="fr-CA"/>
        </w:rPr>
        <w:br/>
        <w:t>Rapport des événements marquants de l’administration</w:t>
      </w:r>
    </w:p>
    <w:p w:rsidR="00151580" w:rsidRPr="00AD7704" w:rsidRDefault="00DA7ADD" w:rsidP="00151580">
      <w:pPr>
        <w:pStyle w:val="Subtitle"/>
        <w:rPr>
          <w:rFonts w:asciiTheme="minorHAnsi" w:hAnsiTheme="minorHAnsi"/>
          <w:i w:val="0"/>
          <w:color w:val="auto"/>
          <w:sz w:val="28"/>
          <w:szCs w:val="22"/>
          <w:lang w:val="fr-CA"/>
        </w:rPr>
      </w:pPr>
      <w:r>
        <w:rPr>
          <w:rFonts w:asciiTheme="minorHAnsi" w:hAnsiTheme="minorHAnsi"/>
          <w:i w:val="0"/>
          <w:color w:val="auto"/>
          <w:sz w:val="28"/>
          <w:szCs w:val="22"/>
          <w:lang w:val="fr-CA"/>
        </w:rPr>
        <w:t>AWCBC</w:t>
      </w:r>
      <w:r w:rsidR="00151580" w:rsidRPr="00AD7704">
        <w:rPr>
          <w:rFonts w:asciiTheme="minorHAnsi" w:hAnsiTheme="minorHAnsi"/>
          <w:i w:val="0"/>
          <w:color w:val="auto"/>
          <w:sz w:val="28"/>
          <w:szCs w:val="22"/>
          <w:lang w:val="en-029"/>
        </w:rPr>
        <w:t xml:space="preserve"> Committee</w:t>
      </w:r>
      <w:r w:rsidR="00151580" w:rsidRPr="00AD7704">
        <w:rPr>
          <w:rFonts w:asciiTheme="minorHAnsi" w:hAnsiTheme="minorHAnsi"/>
          <w:i w:val="0"/>
          <w:color w:val="auto"/>
          <w:sz w:val="28"/>
          <w:szCs w:val="22"/>
          <w:lang w:val="fr-CA"/>
        </w:rPr>
        <w:t xml:space="preserve"> </w:t>
      </w:r>
      <w:r w:rsidR="00151580" w:rsidRPr="00E312CD">
        <w:rPr>
          <w:rFonts w:asciiTheme="minorHAnsi" w:hAnsiTheme="minorHAnsi"/>
          <w:i w:val="0"/>
          <w:color w:val="auto"/>
          <w:sz w:val="28"/>
          <w:szCs w:val="22"/>
        </w:rPr>
        <w:t>Annual</w:t>
      </w:r>
      <w:r>
        <w:rPr>
          <w:rFonts w:asciiTheme="minorHAnsi" w:hAnsiTheme="minorHAnsi"/>
          <w:i w:val="0"/>
          <w:color w:val="auto"/>
          <w:sz w:val="28"/>
          <w:szCs w:val="22"/>
          <w:lang w:val="fr-CA"/>
        </w:rPr>
        <w:t xml:space="preserve"> Meeting</w:t>
      </w:r>
    </w:p>
    <w:p w:rsidR="00151580" w:rsidRPr="00AD7704" w:rsidRDefault="00151580" w:rsidP="00151580">
      <w:pPr>
        <w:rPr>
          <w:sz w:val="28"/>
          <w:szCs w:val="22"/>
          <w:lang w:val="fr-CA"/>
        </w:rPr>
      </w:pPr>
    </w:p>
    <w:tbl>
      <w:tblPr>
        <w:tblStyle w:val="TableGrid"/>
        <w:tblW w:w="101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28"/>
        <w:gridCol w:w="4788"/>
      </w:tblGrid>
      <w:tr w:rsidR="005549B5" w:rsidRPr="00AD7704" w:rsidTr="00AD7704">
        <w:tc>
          <w:tcPr>
            <w:tcW w:w="5328" w:type="dxa"/>
            <w:hideMark/>
          </w:tcPr>
          <w:p w:rsidR="00151580" w:rsidRPr="00AD7704" w:rsidRDefault="00151580">
            <w:pPr>
              <w:rPr>
                <w:rFonts w:asciiTheme="minorHAnsi" w:hAnsiTheme="minorHAnsi"/>
                <w:b/>
                <w:bCs/>
                <w:sz w:val="28"/>
                <w:szCs w:val="22"/>
                <w:lang w:val="fr-CA"/>
              </w:rPr>
            </w:pPr>
            <w:proofErr w:type="spellStart"/>
            <w:r w:rsidRPr="00AD7704">
              <w:rPr>
                <w:rFonts w:asciiTheme="minorHAnsi" w:hAnsiTheme="minorHAnsi"/>
                <w:b/>
                <w:bCs/>
                <w:sz w:val="28"/>
                <w:szCs w:val="22"/>
                <w:lang w:val="fr-CA"/>
              </w:rPr>
              <w:t>Jurisdiction</w:t>
            </w:r>
            <w:proofErr w:type="spellEnd"/>
            <w:r w:rsidRPr="00AD7704">
              <w:rPr>
                <w:rFonts w:asciiTheme="minorHAnsi" w:hAnsiTheme="minorHAnsi"/>
                <w:b/>
                <w:bCs/>
                <w:sz w:val="28"/>
                <w:szCs w:val="22"/>
                <w:lang w:val="fr-CA"/>
              </w:rPr>
              <w:t>/Administration:</w:t>
            </w:r>
          </w:p>
        </w:tc>
        <w:tc>
          <w:tcPr>
            <w:tcW w:w="4788" w:type="dxa"/>
          </w:tcPr>
          <w:p w:rsidR="00151580" w:rsidRPr="00AD7704" w:rsidRDefault="00151580">
            <w:pPr>
              <w:rPr>
                <w:rFonts w:asciiTheme="minorHAnsi" w:hAnsiTheme="minorHAnsi"/>
                <w:sz w:val="28"/>
                <w:szCs w:val="22"/>
                <w:lang w:val="fr-CA"/>
              </w:rPr>
            </w:pPr>
            <w:r w:rsidRPr="00AD7704">
              <w:rPr>
                <w:rFonts w:asciiTheme="minorHAnsi" w:hAnsiTheme="minorHAnsi"/>
                <w:b/>
                <w:bCs/>
                <w:sz w:val="28"/>
                <w:szCs w:val="22"/>
                <w:lang w:val="fr-CA"/>
              </w:rPr>
              <w:t xml:space="preserve">Northwest Territoire / Nunavut </w:t>
            </w:r>
          </w:p>
          <w:p w:rsidR="00151580" w:rsidRPr="00AD7704" w:rsidRDefault="00151580">
            <w:pPr>
              <w:rPr>
                <w:rFonts w:asciiTheme="minorHAnsi" w:hAnsiTheme="minorHAnsi"/>
                <w:b/>
                <w:bCs/>
                <w:sz w:val="28"/>
                <w:szCs w:val="22"/>
                <w:lang w:val="fr-CA"/>
              </w:rPr>
            </w:pPr>
          </w:p>
        </w:tc>
      </w:tr>
      <w:tr w:rsidR="005549B5" w:rsidRPr="00AD7704" w:rsidTr="00AD7704">
        <w:tc>
          <w:tcPr>
            <w:tcW w:w="5328" w:type="dxa"/>
            <w:hideMark/>
          </w:tcPr>
          <w:p w:rsidR="00151580" w:rsidRPr="00AD7704" w:rsidRDefault="00151580">
            <w:pPr>
              <w:rPr>
                <w:rFonts w:asciiTheme="minorHAnsi" w:hAnsiTheme="minorHAnsi"/>
                <w:b/>
                <w:bCs/>
                <w:sz w:val="28"/>
                <w:szCs w:val="22"/>
                <w:lang w:val="fr-CA"/>
              </w:rPr>
            </w:pPr>
            <w:r w:rsidRPr="00AD7704">
              <w:rPr>
                <w:rFonts w:asciiTheme="minorHAnsi" w:hAnsiTheme="minorHAnsi"/>
                <w:b/>
                <w:bCs/>
                <w:sz w:val="28"/>
                <w:szCs w:val="22"/>
                <w:lang w:val="fr-CA"/>
              </w:rPr>
              <w:t>Contact Person/Personne de liaison:</w:t>
            </w:r>
          </w:p>
        </w:tc>
        <w:tc>
          <w:tcPr>
            <w:tcW w:w="4788" w:type="dxa"/>
          </w:tcPr>
          <w:p w:rsidR="00151580" w:rsidRPr="00AD7704" w:rsidRDefault="00E312CD">
            <w:pPr>
              <w:rPr>
                <w:rFonts w:asciiTheme="minorHAnsi" w:hAnsiTheme="minorHAnsi"/>
                <w:sz w:val="28"/>
                <w:szCs w:val="22"/>
                <w:lang w:val="fr-CA"/>
              </w:rPr>
            </w:pPr>
            <w:r>
              <w:rPr>
                <w:rFonts w:asciiTheme="minorHAnsi" w:hAnsiTheme="minorHAnsi"/>
                <w:b/>
                <w:bCs/>
                <w:sz w:val="28"/>
                <w:szCs w:val="22"/>
                <w:lang w:val="fr-CA"/>
              </w:rPr>
              <w:t>Patrick McLaughlin</w:t>
            </w:r>
            <w:r w:rsidR="00151580" w:rsidRPr="00AD7704">
              <w:rPr>
                <w:rFonts w:asciiTheme="minorHAnsi" w:hAnsiTheme="minorHAnsi"/>
                <w:b/>
                <w:bCs/>
                <w:sz w:val="28"/>
                <w:szCs w:val="22"/>
                <w:lang w:val="fr-CA"/>
              </w:rPr>
              <w:t xml:space="preserve"> </w:t>
            </w:r>
          </w:p>
          <w:p w:rsidR="00151580" w:rsidRPr="00AD7704" w:rsidRDefault="00151580">
            <w:pPr>
              <w:rPr>
                <w:rFonts w:asciiTheme="minorHAnsi" w:hAnsiTheme="minorHAnsi"/>
                <w:b/>
                <w:bCs/>
                <w:sz w:val="28"/>
                <w:szCs w:val="22"/>
                <w:lang w:val="fr-CA"/>
              </w:rPr>
            </w:pPr>
          </w:p>
        </w:tc>
      </w:tr>
      <w:tr w:rsidR="005549B5" w:rsidRPr="00AD7704" w:rsidTr="00AD7704">
        <w:tc>
          <w:tcPr>
            <w:tcW w:w="5328" w:type="dxa"/>
            <w:hideMark/>
          </w:tcPr>
          <w:p w:rsidR="00151580" w:rsidRPr="00AD7704" w:rsidRDefault="00151580">
            <w:pPr>
              <w:rPr>
                <w:rFonts w:asciiTheme="minorHAnsi" w:hAnsiTheme="minorHAnsi"/>
                <w:b/>
                <w:bCs/>
                <w:sz w:val="28"/>
                <w:szCs w:val="22"/>
                <w:lang w:val="fr-CA"/>
              </w:rPr>
            </w:pPr>
            <w:r w:rsidRPr="00AD7704">
              <w:rPr>
                <w:rFonts w:asciiTheme="minorHAnsi" w:hAnsiTheme="minorHAnsi"/>
                <w:b/>
                <w:bCs/>
                <w:sz w:val="28"/>
                <w:szCs w:val="22"/>
              </w:rPr>
              <w:t>Telephone Number/</w:t>
            </w:r>
            <w:proofErr w:type="spellStart"/>
            <w:r w:rsidRPr="00AD7704">
              <w:rPr>
                <w:rFonts w:asciiTheme="minorHAnsi" w:hAnsiTheme="minorHAnsi"/>
                <w:b/>
                <w:bCs/>
                <w:sz w:val="28"/>
                <w:szCs w:val="22"/>
              </w:rPr>
              <w:t>Numéro</w:t>
            </w:r>
            <w:proofErr w:type="spellEnd"/>
            <w:r w:rsidRPr="00AD7704">
              <w:rPr>
                <w:rFonts w:asciiTheme="minorHAnsi" w:hAnsiTheme="minorHAnsi"/>
                <w:b/>
                <w:bCs/>
                <w:sz w:val="28"/>
                <w:szCs w:val="22"/>
              </w:rPr>
              <w:t xml:space="preserve"> du </w:t>
            </w:r>
            <w:proofErr w:type="spellStart"/>
            <w:r w:rsidRPr="00AD7704">
              <w:rPr>
                <w:rFonts w:asciiTheme="minorHAnsi" w:hAnsiTheme="minorHAnsi"/>
                <w:b/>
                <w:bCs/>
                <w:sz w:val="28"/>
                <w:szCs w:val="22"/>
              </w:rPr>
              <w:t>téléphone</w:t>
            </w:r>
            <w:proofErr w:type="spellEnd"/>
            <w:r w:rsidRPr="00AD7704">
              <w:rPr>
                <w:rFonts w:asciiTheme="minorHAnsi" w:hAnsiTheme="minorHAnsi"/>
                <w:b/>
                <w:bCs/>
                <w:sz w:val="28"/>
                <w:szCs w:val="22"/>
              </w:rPr>
              <w:t>:</w:t>
            </w:r>
          </w:p>
        </w:tc>
        <w:tc>
          <w:tcPr>
            <w:tcW w:w="4788" w:type="dxa"/>
          </w:tcPr>
          <w:p w:rsidR="00151580" w:rsidRPr="00AD7704" w:rsidRDefault="00E312CD">
            <w:pPr>
              <w:rPr>
                <w:rFonts w:asciiTheme="minorHAnsi" w:hAnsiTheme="minorHAnsi"/>
                <w:sz w:val="28"/>
                <w:szCs w:val="22"/>
              </w:rPr>
            </w:pPr>
            <w:r>
              <w:rPr>
                <w:rFonts w:asciiTheme="minorHAnsi" w:hAnsiTheme="minorHAnsi"/>
                <w:b/>
                <w:bCs/>
                <w:sz w:val="28"/>
                <w:szCs w:val="22"/>
              </w:rPr>
              <w:t>867 678-2301</w:t>
            </w:r>
          </w:p>
          <w:p w:rsidR="00151580" w:rsidRPr="00AD7704" w:rsidRDefault="00151580">
            <w:pPr>
              <w:rPr>
                <w:rFonts w:asciiTheme="minorHAnsi" w:hAnsiTheme="minorHAnsi"/>
                <w:b/>
                <w:bCs/>
                <w:sz w:val="28"/>
                <w:szCs w:val="22"/>
                <w:lang w:val="fr-CA"/>
              </w:rPr>
            </w:pPr>
          </w:p>
        </w:tc>
      </w:tr>
      <w:tr w:rsidR="005549B5" w:rsidRPr="00AD7704" w:rsidTr="00AD7704">
        <w:tc>
          <w:tcPr>
            <w:tcW w:w="5328" w:type="dxa"/>
            <w:hideMark/>
          </w:tcPr>
          <w:p w:rsidR="00151580" w:rsidRPr="00AD7704" w:rsidRDefault="00151580">
            <w:pPr>
              <w:rPr>
                <w:rFonts w:asciiTheme="minorHAnsi" w:hAnsiTheme="minorHAnsi"/>
                <w:b/>
                <w:bCs/>
                <w:sz w:val="28"/>
                <w:szCs w:val="22"/>
                <w:lang w:val="fr-CA"/>
              </w:rPr>
            </w:pPr>
            <w:r w:rsidRPr="00AD7704">
              <w:rPr>
                <w:rFonts w:asciiTheme="minorHAnsi" w:hAnsiTheme="minorHAnsi"/>
                <w:b/>
                <w:bCs/>
                <w:sz w:val="28"/>
                <w:szCs w:val="22"/>
              </w:rPr>
              <w:t xml:space="preserve">Date Completed/Date </w:t>
            </w:r>
            <w:proofErr w:type="spellStart"/>
            <w:r w:rsidRPr="00AD7704">
              <w:rPr>
                <w:rFonts w:asciiTheme="minorHAnsi" w:hAnsiTheme="minorHAnsi"/>
                <w:b/>
                <w:bCs/>
                <w:sz w:val="28"/>
                <w:szCs w:val="22"/>
              </w:rPr>
              <w:t>d’achèvement</w:t>
            </w:r>
            <w:proofErr w:type="spellEnd"/>
            <w:r w:rsidRPr="00AD7704">
              <w:rPr>
                <w:rFonts w:asciiTheme="minorHAnsi" w:hAnsiTheme="minorHAnsi"/>
                <w:b/>
                <w:bCs/>
                <w:sz w:val="28"/>
                <w:szCs w:val="22"/>
              </w:rPr>
              <w:t>:</w:t>
            </w:r>
          </w:p>
        </w:tc>
        <w:tc>
          <w:tcPr>
            <w:tcW w:w="4788" w:type="dxa"/>
            <w:hideMark/>
          </w:tcPr>
          <w:p w:rsidR="00151580" w:rsidRPr="00AD7704" w:rsidRDefault="00E312CD" w:rsidP="00151580">
            <w:pPr>
              <w:rPr>
                <w:rFonts w:asciiTheme="minorHAnsi" w:hAnsiTheme="minorHAnsi"/>
                <w:b/>
                <w:bCs/>
                <w:sz w:val="28"/>
                <w:szCs w:val="22"/>
              </w:rPr>
            </w:pPr>
            <w:r>
              <w:rPr>
                <w:rFonts w:asciiTheme="minorHAnsi" w:hAnsiTheme="minorHAnsi"/>
                <w:b/>
                <w:bCs/>
                <w:sz w:val="28"/>
                <w:szCs w:val="22"/>
              </w:rPr>
              <w:t>May</w:t>
            </w:r>
            <w:r w:rsidR="00151580" w:rsidRPr="00AD7704">
              <w:rPr>
                <w:rFonts w:asciiTheme="minorHAnsi" w:hAnsiTheme="minorHAnsi"/>
                <w:b/>
                <w:bCs/>
                <w:sz w:val="28"/>
                <w:szCs w:val="22"/>
              </w:rPr>
              <w:t>, 2015</w:t>
            </w:r>
          </w:p>
        </w:tc>
      </w:tr>
    </w:tbl>
    <w:p w:rsidR="00151580" w:rsidRPr="00910BF8" w:rsidRDefault="00151580" w:rsidP="00151580">
      <w:pPr>
        <w:rPr>
          <w:sz w:val="20"/>
          <w:szCs w:val="22"/>
        </w:rPr>
      </w:pPr>
      <w:r w:rsidRPr="00910BF8">
        <w:rPr>
          <w:sz w:val="20"/>
          <w:szCs w:val="22"/>
        </w:rPr>
        <w:t>________________________________________________________________</w:t>
      </w:r>
    </w:p>
    <w:p w:rsidR="00151580" w:rsidRPr="00910BF8" w:rsidRDefault="00151580" w:rsidP="00151580">
      <w:pPr>
        <w:rPr>
          <w:b/>
          <w:bCs/>
          <w:sz w:val="20"/>
          <w:szCs w:val="22"/>
          <w:u w:val="single"/>
        </w:rPr>
      </w:pPr>
    </w:p>
    <w:p w:rsidR="00151580" w:rsidRPr="00910BF8" w:rsidRDefault="00151580" w:rsidP="00151580">
      <w:pPr>
        <w:rPr>
          <w:sz w:val="20"/>
          <w:szCs w:val="22"/>
        </w:rPr>
      </w:pPr>
      <w:r w:rsidRPr="00910BF8">
        <w:rPr>
          <w:b/>
          <w:bCs/>
          <w:sz w:val="20"/>
          <w:szCs w:val="22"/>
          <w:u w:val="single"/>
        </w:rPr>
        <w:t>Subject Headings/</w:t>
      </w:r>
      <w:proofErr w:type="spellStart"/>
      <w:r w:rsidRPr="00910BF8">
        <w:rPr>
          <w:b/>
          <w:bCs/>
          <w:sz w:val="20"/>
          <w:szCs w:val="22"/>
          <w:u w:val="single"/>
        </w:rPr>
        <w:t>Rubriques</w:t>
      </w:r>
      <w:proofErr w:type="spellEnd"/>
    </w:p>
    <w:p w:rsidR="00151580" w:rsidRPr="00910BF8" w:rsidRDefault="00151580" w:rsidP="00151580">
      <w:pPr>
        <w:rPr>
          <w:sz w:val="20"/>
          <w:szCs w:val="22"/>
        </w:rPr>
      </w:pPr>
    </w:p>
    <w:p w:rsidR="00151580" w:rsidRPr="00AD7704" w:rsidRDefault="00151580" w:rsidP="00151580">
      <w:pPr>
        <w:pStyle w:val="Heading1"/>
        <w:numPr>
          <w:ilvl w:val="0"/>
          <w:numId w:val="19"/>
        </w:numPr>
        <w:rPr>
          <w:sz w:val="22"/>
          <w:szCs w:val="22"/>
        </w:rPr>
      </w:pPr>
      <w:r w:rsidRPr="00AD7704">
        <w:rPr>
          <w:sz w:val="22"/>
          <w:szCs w:val="22"/>
        </w:rPr>
        <w:t xml:space="preserve">Legislation / </w:t>
      </w:r>
      <w:proofErr w:type="spellStart"/>
      <w:r w:rsidRPr="00AD7704">
        <w:rPr>
          <w:sz w:val="22"/>
          <w:szCs w:val="22"/>
        </w:rPr>
        <w:t>Législation</w:t>
      </w:r>
      <w:proofErr w:type="spellEnd"/>
      <w:r w:rsidRPr="00AD7704">
        <w:rPr>
          <w:sz w:val="22"/>
          <w:szCs w:val="22"/>
        </w:rPr>
        <w:t>:</w:t>
      </w:r>
    </w:p>
    <w:p w:rsidR="00151580" w:rsidRPr="00AD7704" w:rsidRDefault="00151580" w:rsidP="00151580">
      <w:pPr>
        <w:tabs>
          <w:tab w:val="clear" w:pos="360"/>
        </w:tabs>
        <w:ind w:left="360"/>
        <w:rPr>
          <w:szCs w:val="22"/>
        </w:rPr>
      </w:pPr>
      <w:r w:rsidRPr="00AD7704">
        <w:rPr>
          <w:szCs w:val="22"/>
        </w:rPr>
        <w:t>Devolution</w:t>
      </w:r>
      <w:r w:rsidR="003843E3" w:rsidRPr="00AD7704">
        <w:rPr>
          <w:szCs w:val="22"/>
        </w:rPr>
        <w:t xml:space="preserve"> </w:t>
      </w:r>
      <w:r w:rsidR="003E48BE" w:rsidRPr="00AD7704">
        <w:rPr>
          <w:szCs w:val="22"/>
        </w:rPr>
        <w:t>of land, water, and re</w:t>
      </w:r>
      <w:r w:rsidR="003843E3" w:rsidRPr="00AD7704">
        <w:rPr>
          <w:szCs w:val="22"/>
        </w:rPr>
        <w:t>s</w:t>
      </w:r>
      <w:r w:rsidR="003E48BE" w:rsidRPr="00AD7704">
        <w:rPr>
          <w:szCs w:val="22"/>
        </w:rPr>
        <w:t>our</w:t>
      </w:r>
      <w:r w:rsidR="003843E3" w:rsidRPr="00AD7704">
        <w:rPr>
          <w:szCs w:val="22"/>
        </w:rPr>
        <w:t>c</w:t>
      </w:r>
      <w:r w:rsidR="003E48BE" w:rsidRPr="00AD7704">
        <w:rPr>
          <w:szCs w:val="22"/>
        </w:rPr>
        <w:t xml:space="preserve">e management </w:t>
      </w:r>
      <w:r w:rsidR="003843E3" w:rsidRPr="00AD7704">
        <w:rPr>
          <w:szCs w:val="22"/>
        </w:rPr>
        <w:t xml:space="preserve">in the Northwest Territories </w:t>
      </w:r>
      <w:r w:rsidR="003E48BE" w:rsidRPr="00AD7704">
        <w:rPr>
          <w:szCs w:val="22"/>
        </w:rPr>
        <w:t>from the Canadian federal government to the Northwest Territories on</w:t>
      </w:r>
      <w:r w:rsidRPr="00AD7704">
        <w:rPr>
          <w:szCs w:val="22"/>
        </w:rPr>
        <w:t xml:space="preserve"> </w:t>
      </w:r>
      <w:r w:rsidR="003E48BE" w:rsidRPr="00AD7704">
        <w:rPr>
          <w:szCs w:val="22"/>
        </w:rPr>
        <w:t xml:space="preserve">April, 2014 </w:t>
      </w:r>
      <w:r w:rsidRPr="00AD7704">
        <w:rPr>
          <w:szCs w:val="22"/>
        </w:rPr>
        <w:t xml:space="preserve">brought Oil and Gas Regulation enforcement </w:t>
      </w:r>
      <w:r w:rsidR="003E48BE" w:rsidRPr="00AD7704">
        <w:rPr>
          <w:szCs w:val="22"/>
        </w:rPr>
        <w:t>under</w:t>
      </w:r>
      <w:r w:rsidRPr="00AD7704">
        <w:rPr>
          <w:szCs w:val="22"/>
        </w:rPr>
        <w:t xml:space="preserve"> Territorial </w:t>
      </w:r>
      <w:r w:rsidR="003E48BE" w:rsidRPr="00AD7704">
        <w:rPr>
          <w:szCs w:val="22"/>
        </w:rPr>
        <w:t>jur</w:t>
      </w:r>
      <w:r w:rsidR="003843E3" w:rsidRPr="00AD7704">
        <w:rPr>
          <w:szCs w:val="22"/>
        </w:rPr>
        <w:t>is</w:t>
      </w:r>
      <w:r w:rsidR="003E48BE" w:rsidRPr="00AD7704">
        <w:rPr>
          <w:szCs w:val="22"/>
        </w:rPr>
        <w:t>dic</w:t>
      </w:r>
      <w:r w:rsidRPr="00AD7704">
        <w:rPr>
          <w:szCs w:val="22"/>
        </w:rPr>
        <w:t>t</w:t>
      </w:r>
      <w:r w:rsidR="003E48BE" w:rsidRPr="00AD7704">
        <w:rPr>
          <w:szCs w:val="22"/>
        </w:rPr>
        <w:t>ion</w:t>
      </w:r>
      <w:r w:rsidRPr="00AD7704">
        <w:rPr>
          <w:szCs w:val="22"/>
        </w:rPr>
        <w:t xml:space="preserve"> for some of the oil and gas sites in NWT.</w:t>
      </w:r>
    </w:p>
    <w:p w:rsidR="003E48BE" w:rsidRPr="00AD7704" w:rsidRDefault="003E48BE" w:rsidP="00151580">
      <w:pPr>
        <w:tabs>
          <w:tab w:val="clear" w:pos="360"/>
        </w:tabs>
        <w:ind w:left="360"/>
        <w:rPr>
          <w:szCs w:val="22"/>
        </w:rPr>
      </w:pPr>
      <w:r w:rsidRPr="00AD7704">
        <w:rPr>
          <w:szCs w:val="22"/>
        </w:rPr>
        <w:br/>
      </w:r>
      <w:r w:rsidR="003843E3" w:rsidRPr="00AD7704">
        <w:rPr>
          <w:szCs w:val="22"/>
        </w:rPr>
        <w:t>P</w:t>
      </w:r>
      <w:r w:rsidRPr="00AD7704">
        <w:rPr>
          <w:szCs w:val="22"/>
        </w:rPr>
        <w:t>reparation for</w:t>
      </w:r>
      <w:r w:rsidR="003843E3" w:rsidRPr="00AD7704">
        <w:rPr>
          <w:szCs w:val="22"/>
        </w:rPr>
        <w:t xml:space="preserve"> transition from WHMIS1988 to </w:t>
      </w:r>
      <w:r w:rsidRPr="00AD7704">
        <w:rPr>
          <w:szCs w:val="22"/>
        </w:rPr>
        <w:t>GHS, WHMIS2015</w:t>
      </w:r>
      <w:r w:rsidR="00C444B0" w:rsidRPr="00AD7704">
        <w:rPr>
          <w:szCs w:val="22"/>
        </w:rPr>
        <w:t>. Implementation to take place gradually, with stakeholders t</w:t>
      </w:r>
      <w:r w:rsidR="00E312CD">
        <w:rPr>
          <w:szCs w:val="22"/>
        </w:rPr>
        <w:t xml:space="preserve">o use either completely one or </w:t>
      </w:r>
      <w:r w:rsidR="00C444B0" w:rsidRPr="00AD7704">
        <w:rPr>
          <w:szCs w:val="22"/>
        </w:rPr>
        <w:t>the other. Not a combination of the two.</w:t>
      </w:r>
      <w:r w:rsidR="00E312CD">
        <w:rPr>
          <w:szCs w:val="22"/>
        </w:rPr>
        <w:t xml:space="preserve"> </w:t>
      </w:r>
      <w:r w:rsidR="003843E3" w:rsidRPr="00AD7704">
        <w:rPr>
          <w:szCs w:val="22"/>
        </w:rPr>
        <w:t>(</w:t>
      </w:r>
      <w:r w:rsidR="00C444B0" w:rsidRPr="00AD7704">
        <w:rPr>
          <w:i/>
          <w:szCs w:val="22"/>
        </w:rPr>
        <w:t>Hazardous Products Act</w:t>
      </w:r>
      <w:r w:rsidR="00C444B0" w:rsidRPr="00AD7704">
        <w:rPr>
          <w:szCs w:val="22"/>
        </w:rPr>
        <w:t xml:space="preserve"> came into force February 11, 2015).</w:t>
      </w:r>
    </w:p>
    <w:p w:rsidR="00151580" w:rsidRPr="00AD7704" w:rsidRDefault="00151580" w:rsidP="00151580">
      <w:pPr>
        <w:tabs>
          <w:tab w:val="clear" w:pos="360"/>
        </w:tabs>
        <w:ind w:left="360"/>
        <w:rPr>
          <w:szCs w:val="22"/>
        </w:rPr>
      </w:pPr>
    </w:p>
    <w:p w:rsidR="00151580" w:rsidRPr="00AD7704" w:rsidRDefault="00151580" w:rsidP="00151580">
      <w:pPr>
        <w:pStyle w:val="ListParagraph"/>
        <w:numPr>
          <w:ilvl w:val="0"/>
          <w:numId w:val="19"/>
        </w:numPr>
        <w:rPr>
          <w:szCs w:val="22"/>
        </w:rPr>
      </w:pPr>
      <w:r w:rsidRPr="00AD7704">
        <w:rPr>
          <w:b/>
          <w:bCs/>
          <w:szCs w:val="22"/>
        </w:rPr>
        <w:t xml:space="preserve">Regulations / </w:t>
      </w:r>
      <w:proofErr w:type="spellStart"/>
      <w:r w:rsidRPr="00AD7704">
        <w:rPr>
          <w:b/>
          <w:bCs/>
          <w:szCs w:val="22"/>
        </w:rPr>
        <w:t>Réglementation</w:t>
      </w:r>
      <w:proofErr w:type="spellEnd"/>
      <w:r w:rsidRPr="00AD7704">
        <w:rPr>
          <w:b/>
          <w:bCs/>
          <w:szCs w:val="22"/>
        </w:rPr>
        <w:t>:</w:t>
      </w:r>
    </w:p>
    <w:p w:rsidR="00151580" w:rsidRDefault="001A2775" w:rsidP="003843E3">
      <w:pPr>
        <w:tabs>
          <w:tab w:val="clear" w:pos="360"/>
        </w:tabs>
        <w:ind w:left="360"/>
        <w:rPr>
          <w:szCs w:val="22"/>
        </w:rPr>
      </w:pPr>
      <w:r w:rsidRPr="00AD7704">
        <w:rPr>
          <w:szCs w:val="22"/>
        </w:rPr>
        <w:t>Occupational Health and Safety Regulations anticipated implementation date June 1, 2015 (confirmed March 30, 2015)</w:t>
      </w:r>
      <w:r w:rsidR="00151580" w:rsidRPr="00AD7704">
        <w:rPr>
          <w:szCs w:val="22"/>
        </w:rPr>
        <w:t xml:space="preserve">.  </w:t>
      </w:r>
    </w:p>
    <w:p w:rsidR="00AD7704" w:rsidRPr="00AD7704" w:rsidRDefault="00AD7704" w:rsidP="003843E3">
      <w:pPr>
        <w:tabs>
          <w:tab w:val="clear" w:pos="360"/>
        </w:tabs>
        <w:ind w:left="360"/>
        <w:rPr>
          <w:szCs w:val="22"/>
        </w:rPr>
      </w:pPr>
    </w:p>
    <w:p w:rsidR="00151580" w:rsidRPr="00AD7704" w:rsidRDefault="00151580" w:rsidP="00151580">
      <w:pPr>
        <w:pStyle w:val="ListParagraph"/>
        <w:numPr>
          <w:ilvl w:val="0"/>
          <w:numId w:val="19"/>
        </w:numPr>
        <w:rPr>
          <w:szCs w:val="22"/>
          <w:lang w:val="fr-CA"/>
        </w:rPr>
      </w:pPr>
      <w:r w:rsidRPr="00AD7704">
        <w:rPr>
          <w:b/>
          <w:bCs/>
          <w:szCs w:val="22"/>
          <w:lang w:val="fr-CA"/>
        </w:rPr>
        <w:t xml:space="preserve">Program </w:t>
      </w:r>
      <w:r w:rsidRPr="00E312CD">
        <w:rPr>
          <w:b/>
          <w:bCs/>
          <w:szCs w:val="22"/>
        </w:rPr>
        <w:t>Development</w:t>
      </w:r>
      <w:r w:rsidRPr="00AD7704">
        <w:rPr>
          <w:b/>
          <w:bCs/>
          <w:szCs w:val="22"/>
          <w:lang w:val="fr-CA"/>
        </w:rPr>
        <w:t xml:space="preserve"> / Élaboration de programmes:</w:t>
      </w:r>
    </w:p>
    <w:p w:rsidR="00151580" w:rsidRPr="00AD7704" w:rsidRDefault="00151580" w:rsidP="00151580">
      <w:pPr>
        <w:ind w:left="360"/>
        <w:rPr>
          <w:bCs/>
          <w:szCs w:val="22"/>
          <w:lang w:val="en-US"/>
        </w:rPr>
      </w:pPr>
    </w:p>
    <w:p w:rsidR="00EA1F42" w:rsidRPr="00AD7704" w:rsidRDefault="00EA1F42" w:rsidP="00151580">
      <w:pPr>
        <w:ind w:left="360"/>
        <w:rPr>
          <w:bCs/>
          <w:szCs w:val="22"/>
          <w:lang w:val="en-US"/>
        </w:rPr>
      </w:pPr>
      <w:r w:rsidRPr="00AD7704">
        <w:rPr>
          <w:bCs/>
          <w:szCs w:val="22"/>
          <w:lang w:val="en-US"/>
        </w:rPr>
        <w:t>Stakeholder Engagement Committee (SEC)</w:t>
      </w:r>
    </w:p>
    <w:p w:rsidR="00EA1F42" w:rsidRPr="00AD7704" w:rsidRDefault="00EA1F42" w:rsidP="00EA1F42">
      <w:pPr>
        <w:pStyle w:val="ListParagraph"/>
        <w:numPr>
          <w:ilvl w:val="0"/>
          <w:numId w:val="24"/>
        </w:numPr>
        <w:rPr>
          <w:bCs/>
          <w:szCs w:val="22"/>
          <w:lang w:val="en-US"/>
        </w:rPr>
      </w:pPr>
      <w:r w:rsidRPr="00AD7704">
        <w:rPr>
          <w:bCs/>
          <w:szCs w:val="22"/>
          <w:lang w:val="en-US"/>
        </w:rPr>
        <w:t>Retained a dedicated group of professionals</w:t>
      </w:r>
      <w:r w:rsidR="00B92B4A" w:rsidRPr="00AD7704">
        <w:rPr>
          <w:bCs/>
          <w:szCs w:val="22"/>
          <w:lang w:val="en-US"/>
        </w:rPr>
        <w:t xml:space="preserve"> from various sectors</w:t>
      </w:r>
      <w:r w:rsidRPr="00AD7704">
        <w:rPr>
          <w:bCs/>
          <w:szCs w:val="22"/>
          <w:lang w:val="en-US"/>
        </w:rPr>
        <w:t xml:space="preserve"> through published request of expressions of interest.</w:t>
      </w:r>
    </w:p>
    <w:p w:rsidR="00EA1F42" w:rsidRPr="00AD7704" w:rsidRDefault="00EA1F42" w:rsidP="00EA1F42">
      <w:pPr>
        <w:pStyle w:val="ListParagraph"/>
        <w:numPr>
          <w:ilvl w:val="1"/>
          <w:numId w:val="24"/>
        </w:numPr>
        <w:rPr>
          <w:bCs/>
          <w:szCs w:val="22"/>
          <w:lang w:val="en-US"/>
        </w:rPr>
      </w:pPr>
      <w:r w:rsidRPr="00AD7704">
        <w:rPr>
          <w:rFonts w:ascii="Calibri" w:hAnsi="Calibri" w:cs="Segoe UI"/>
          <w:szCs w:val="22"/>
        </w:rPr>
        <w:t xml:space="preserve">The </w:t>
      </w:r>
      <w:r w:rsidR="00B92B4A" w:rsidRPr="00AD7704">
        <w:rPr>
          <w:rFonts w:ascii="Calibri" w:hAnsi="Calibri" w:cs="Segoe UI"/>
          <w:szCs w:val="22"/>
        </w:rPr>
        <w:t xml:space="preserve">SEC </w:t>
      </w:r>
      <w:r w:rsidRPr="00AD7704">
        <w:rPr>
          <w:rFonts w:ascii="Calibri" w:hAnsi="Calibri" w:cs="Segoe UI"/>
          <w:szCs w:val="22"/>
        </w:rPr>
        <w:t>provides timely input, facilitates policy, decision making, and program delivery. The SEC calls upon Members external to the WSCC, representing the interests of workers, employers, and the general public, to provide valuable feedback.</w:t>
      </w:r>
    </w:p>
    <w:p w:rsidR="00EA1F42" w:rsidRPr="00AD7704" w:rsidRDefault="00EA1F42" w:rsidP="00B92B4A">
      <w:pPr>
        <w:pStyle w:val="ListParagraph"/>
        <w:ind w:left="1800"/>
        <w:rPr>
          <w:bCs/>
          <w:szCs w:val="22"/>
          <w:lang w:val="en-US"/>
        </w:rPr>
      </w:pPr>
    </w:p>
    <w:p w:rsidR="001A2775" w:rsidRPr="00AD7704" w:rsidRDefault="001A2775" w:rsidP="00151580">
      <w:pPr>
        <w:ind w:left="360"/>
        <w:rPr>
          <w:bCs/>
          <w:szCs w:val="22"/>
          <w:lang w:val="en-US"/>
        </w:rPr>
      </w:pPr>
      <w:r w:rsidRPr="00AD7704">
        <w:rPr>
          <w:bCs/>
          <w:szCs w:val="22"/>
          <w:lang w:val="en-US"/>
        </w:rPr>
        <w:t>Safe Advantage Program</w:t>
      </w:r>
    </w:p>
    <w:p w:rsidR="001A2775" w:rsidRPr="00AD7704" w:rsidRDefault="001A2775" w:rsidP="001A2775">
      <w:pPr>
        <w:pStyle w:val="ListParagraph"/>
        <w:numPr>
          <w:ilvl w:val="0"/>
          <w:numId w:val="23"/>
        </w:numPr>
        <w:rPr>
          <w:bCs/>
          <w:szCs w:val="22"/>
          <w:lang w:val="en-US"/>
        </w:rPr>
      </w:pPr>
      <w:r w:rsidRPr="00AD7704">
        <w:rPr>
          <w:bCs/>
          <w:szCs w:val="22"/>
          <w:lang w:val="en-US"/>
        </w:rPr>
        <w:t>Large employer safety</w:t>
      </w:r>
      <w:r w:rsidR="00B92B4A" w:rsidRPr="00AD7704">
        <w:rPr>
          <w:bCs/>
          <w:szCs w:val="22"/>
          <w:lang w:val="en-US"/>
        </w:rPr>
        <w:t>-</w:t>
      </w:r>
      <w:r w:rsidRPr="00AD7704">
        <w:rPr>
          <w:bCs/>
          <w:szCs w:val="22"/>
          <w:lang w:val="en-US"/>
        </w:rPr>
        <w:t>incentive program expanded to accept approved safety audit, such as COR. Other audit programs under review for approval.</w:t>
      </w:r>
    </w:p>
    <w:p w:rsidR="006502A8" w:rsidRPr="00AD7704" w:rsidRDefault="00151580" w:rsidP="00151580">
      <w:pPr>
        <w:ind w:left="360"/>
        <w:rPr>
          <w:bCs/>
          <w:szCs w:val="22"/>
          <w:lang w:val="en-US"/>
        </w:rPr>
      </w:pPr>
      <w:r w:rsidRPr="00AD7704">
        <w:rPr>
          <w:bCs/>
          <w:szCs w:val="22"/>
          <w:lang w:val="en-US"/>
        </w:rPr>
        <w:t xml:space="preserve">Codes of Practice </w:t>
      </w:r>
    </w:p>
    <w:p w:rsidR="00151580" w:rsidRPr="00AD7704" w:rsidRDefault="00B940B2" w:rsidP="006502A8">
      <w:pPr>
        <w:pStyle w:val="ListParagraph"/>
        <w:numPr>
          <w:ilvl w:val="0"/>
          <w:numId w:val="20"/>
        </w:numPr>
        <w:rPr>
          <w:bCs/>
          <w:szCs w:val="22"/>
          <w:lang w:val="en-US"/>
        </w:rPr>
      </w:pPr>
      <w:r w:rsidRPr="00AD7704">
        <w:rPr>
          <w:bCs/>
          <w:szCs w:val="22"/>
          <w:lang w:val="en-US"/>
        </w:rPr>
        <w:lastRenderedPageBreak/>
        <w:t>D</w:t>
      </w:r>
      <w:r w:rsidR="00151580" w:rsidRPr="00AD7704">
        <w:rPr>
          <w:bCs/>
          <w:szCs w:val="22"/>
          <w:lang w:val="en-US"/>
        </w:rPr>
        <w:t xml:space="preserve">eveloped and </w:t>
      </w:r>
      <w:r w:rsidRPr="00AD7704">
        <w:rPr>
          <w:bCs/>
          <w:szCs w:val="22"/>
          <w:lang w:val="en-US"/>
        </w:rPr>
        <w:t>published</w:t>
      </w:r>
      <w:r w:rsidR="00151580" w:rsidRPr="00AD7704">
        <w:rPr>
          <w:bCs/>
          <w:szCs w:val="22"/>
          <w:lang w:val="en-US"/>
        </w:rPr>
        <w:t xml:space="preserve"> </w:t>
      </w:r>
    </w:p>
    <w:p w:rsidR="00151580" w:rsidRPr="00AD7704" w:rsidRDefault="00151580" w:rsidP="00151580">
      <w:pPr>
        <w:numPr>
          <w:ilvl w:val="1"/>
          <w:numId w:val="6"/>
        </w:numPr>
        <w:autoSpaceDE/>
        <w:rPr>
          <w:szCs w:val="22"/>
          <w:lang w:val="en-US"/>
        </w:rPr>
      </w:pPr>
      <w:r w:rsidRPr="00AD7704">
        <w:rPr>
          <w:szCs w:val="22"/>
          <w:lang w:val="en-US"/>
        </w:rPr>
        <w:t xml:space="preserve">Occupational Health and Safety Education </w:t>
      </w:r>
      <w:r w:rsidR="006502A8" w:rsidRPr="00AD7704">
        <w:rPr>
          <w:szCs w:val="22"/>
          <w:lang w:val="en-US"/>
        </w:rPr>
        <w:t>–</w:t>
      </w:r>
      <w:r w:rsidRPr="00AD7704">
        <w:rPr>
          <w:szCs w:val="22"/>
          <w:lang w:val="en-US"/>
        </w:rPr>
        <w:t xml:space="preserve"> Supervisors</w:t>
      </w:r>
    </w:p>
    <w:p w:rsidR="006502A8" w:rsidRPr="00AD7704" w:rsidRDefault="006502A8" w:rsidP="006502A8">
      <w:pPr>
        <w:numPr>
          <w:ilvl w:val="0"/>
          <w:numId w:val="6"/>
        </w:numPr>
        <w:tabs>
          <w:tab w:val="clear" w:pos="360"/>
        </w:tabs>
        <w:autoSpaceDE/>
        <w:ind w:left="1080"/>
        <w:rPr>
          <w:szCs w:val="22"/>
          <w:lang w:val="en-US"/>
        </w:rPr>
      </w:pPr>
      <w:r w:rsidRPr="00AD7704">
        <w:rPr>
          <w:szCs w:val="22"/>
          <w:lang w:val="en-US"/>
        </w:rPr>
        <w:t>In development (scheduled for release in 2015)</w:t>
      </w:r>
    </w:p>
    <w:p w:rsidR="006502A8" w:rsidRPr="00AD7704" w:rsidRDefault="006502A8" w:rsidP="006502A8">
      <w:pPr>
        <w:numPr>
          <w:ilvl w:val="1"/>
          <w:numId w:val="6"/>
        </w:numPr>
        <w:tabs>
          <w:tab w:val="clear" w:pos="360"/>
        </w:tabs>
        <w:autoSpaceDE/>
        <w:rPr>
          <w:szCs w:val="22"/>
          <w:lang w:val="en-US"/>
        </w:rPr>
      </w:pPr>
      <w:r w:rsidRPr="00AD7704">
        <w:rPr>
          <w:szCs w:val="22"/>
          <w:lang w:val="en-US"/>
        </w:rPr>
        <w:t>Joint Occupational Health and Safety Committees (published January 30, 2015)</w:t>
      </w:r>
    </w:p>
    <w:p w:rsidR="006502A8" w:rsidRPr="00AD7704" w:rsidRDefault="006502A8" w:rsidP="006502A8">
      <w:pPr>
        <w:numPr>
          <w:ilvl w:val="1"/>
          <w:numId w:val="6"/>
        </w:numPr>
        <w:tabs>
          <w:tab w:val="clear" w:pos="360"/>
        </w:tabs>
        <w:autoSpaceDE/>
        <w:rPr>
          <w:szCs w:val="22"/>
          <w:lang w:val="en-US"/>
        </w:rPr>
      </w:pPr>
      <w:r w:rsidRPr="00AD7704">
        <w:rPr>
          <w:szCs w:val="22"/>
          <w:lang w:val="en-US"/>
        </w:rPr>
        <w:t xml:space="preserve">Working Alone </w:t>
      </w:r>
    </w:p>
    <w:p w:rsidR="006502A8" w:rsidRPr="00AD7704" w:rsidRDefault="006502A8" w:rsidP="006502A8">
      <w:pPr>
        <w:numPr>
          <w:ilvl w:val="1"/>
          <w:numId w:val="6"/>
        </w:numPr>
        <w:tabs>
          <w:tab w:val="clear" w:pos="360"/>
        </w:tabs>
        <w:autoSpaceDE/>
        <w:rPr>
          <w:szCs w:val="22"/>
          <w:lang w:val="en-US"/>
        </w:rPr>
      </w:pPr>
      <w:r w:rsidRPr="00AD7704">
        <w:rPr>
          <w:szCs w:val="22"/>
          <w:lang w:val="en-US"/>
        </w:rPr>
        <w:t>Camp Set Up and Maintenance</w:t>
      </w:r>
    </w:p>
    <w:p w:rsidR="006502A8" w:rsidRPr="00AD7704" w:rsidRDefault="006502A8" w:rsidP="006502A8">
      <w:pPr>
        <w:numPr>
          <w:ilvl w:val="1"/>
          <w:numId w:val="6"/>
        </w:numPr>
        <w:tabs>
          <w:tab w:val="clear" w:pos="360"/>
        </w:tabs>
        <w:autoSpaceDE/>
        <w:rPr>
          <w:szCs w:val="22"/>
          <w:lang w:val="en-US"/>
        </w:rPr>
      </w:pPr>
      <w:r w:rsidRPr="00AD7704">
        <w:rPr>
          <w:szCs w:val="22"/>
          <w:lang w:val="en-US"/>
        </w:rPr>
        <w:t>Occupational Health and Safety Training</w:t>
      </w:r>
    </w:p>
    <w:p w:rsidR="006502A8" w:rsidRPr="00AD7704" w:rsidRDefault="006502A8" w:rsidP="006502A8">
      <w:pPr>
        <w:numPr>
          <w:ilvl w:val="1"/>
          <w:numId w:val="6"/>
        </w:numPr>
        <w:tabs>
          <w:tab w:val="clear" w:pos="360"/>
        </w:tabs>
        <w:autoSpaceDE/>
        <w:rPr>
          <w:szCs w:val="22"/>
          <w:lang w:val="en-US"/>
        </w:rPr>
      </w:pPr>
      <w:r w:rsidRPr="00AD7704">
        <w:rPr>
          <w:szCs w:val="22"/>
          <w:lang w:val="en-US"/>
        </w:rPr>
        <w:t>Return to Work</w:t>
      </w:r>
    </w:p>
    <w:p w:rsidR="00151580" w:rsidRPr="00AD7704" w:rsidRDefault="00151580" w:rsidP="00151580">
      <w:pPr>
        <w:rPr>
          <w:szCs w:val="22"/>
        </w:rPr>
      </w:pPr>
    </w:p>
    <w:p w:rsidR="00151580" w:rsidRPr="00AD7704" w:rsidRDefault="00151580" w:rsidP="00151580">
      <w:pPr>
        <w:pStyle w:val="ListParagraph"/>
        <w:numPr>
          <w:ilvl w:val="0"/>
          <w:numId w:val="19"/>
        </w:numPr>
        <w:rPr>
          <w:szCs w:val="22"/>
          <w:lang w:val="fr-CA"/>
        </w:rPr>
      </w:pPr>
      <w:r w:rsidRPr="00AD7704">
        <w:rPr>
          <w:b/>
          <w:bCs/>
          <w:szCs w:val="22"/>
          <w:lang w:val="fr-CA"/>
        </w:rPr>
        <w:t>OSH Promotion/Promotion de l’SST:</w:t>
      </w:r>
    </w:p>
    <w:p w:rsidR="00C444B0" w:rsidRPr="00AD7704" w:rsidRDefault="00C444B0" w:rsidP="00C444B0">
      <w:pPr>
        <w:numPr>
          <w:ilvl w:val="0"/>
          <w:numId w:val="8"/>
        </w:numPr>
        <w:rPr>
          <w:szCs w:val="22"/>
        </w:rPr>
      </w:pPr>
      <w:r w:rsidRPr="00AD7704">
        <w:rPr>
          <w:szCs w:val="22"/>
        </w:rPr>
        <w:t>Worker Rights Poster Campaign with focus on new, young and immigrant workers.</w:t>
      </w:r>
    </w:p>
    <w:p w:rsidR="00C444B0" w:rsidRPr="00AD7704" w:rsidRDefault="00C444B0" w:rsidP="00151580">
      <w:pPr>
        <w:numPr>
          <w:ilvl w:val="0"/>
          <w:numId w:val="8"/>
        </w:numPr>
        <w:rPr>
          <w:szCs w:val="22"/>
        </w:rPr>
      </w:pPr>
      <w:r w:rsidRPr="00AD7704">
        <w:rPr>
          <w:szCs w:val="22"/>
        </w:rPr>
        <w:t xml:space="preserve">Media Releases to prepare stakeholders for significant changes coming in 2015 </w:t>
      </w:r>
      <w:r w:rsidRPr="00AD7704">
        <w:rPr>
          <w:szCs w:val="22"/>
        </w:rPr>
        <w:br/>
        <w:t>(GHS-WHMIS2015 and OHS Regulations).</w:t>
      </w:r>
    </w:p>
    <w:p w:rsidR="00F71EF0" w:rsidRPr="00AD7704" w:rsidRDefault="00F71EF0" w:rsidP="00151580">
      <w:pPr>
        <w:numPr>
          <w:ilvl w:val="0"/>
          <w:numId w:val="8"/>
        </w:numPr>
        <w:rPr>
          <w:szCs w:val="22"/>
        </w:rPr>
      </w:pPr>
      <w:r w:rsidRPr="00AD7704">
        <w:rPr>
          <w:szCs w:val="22"/>
        </w:rPr>
        <w:t>Social Media: bilingual French and English Facebook and Twitter feeds</w:t>
      </w:r>
    </w:p>
    <w:p w:rsidR="00151580" w:rsidRPr="00AD7704" w:rsidRDefault="00151580" w:rsidP="00151580">
      <w:pPr>
        <w:numPr>
          <w:ilvl w:val="0"/>
          <w:numId w:val="8"/>
        </w:numPr>
        <w:rPr>
          <w:szCs w:val="22"/>
        </w:rPr>
      </w:pPr>
      <w:r w:rsidRPr="00AD7704">
        <w:rPr>
          <w:iCs/>
          <w:szCs w:val="22"/>
        </w:rPr>
        <w:t>NAOSH events in 3 communities with promotion across both territories.</w:t>
      </w:r>
    </w:p>
    <w:p w:rsidR="00151580" w:rsidRPr="00AD7704" w:rsidRDefault="00151580" w:rsidP="00151580">
      <w:pPr>
        <w:numPr>
          <w:ilvl w:val="0"/>
          <w:numId w:val="8"/>
        </w:numPr>
        <w:rPr>
          <w:szCs w:val="22"/>
        </w:rPr>
      </w:pPr>
      <w:r w:rsidRPr="00AD7704">
        <w:rPr>
          <w:iCs/>
          <w:szCs w:val="22"/>
        </w:rPr>
        <w:t>Mine Rescue Competition</w:t>
      </w:r>
    </w:p>
    <w:p w:rsidR="00151580" w:rsidRPr="00AD7704" w:rsidRDefault="00151580" w:rsidP="00151580">
      <w:pPr>
        <w:numPr>
          <w:ilvl w:val="0"/>
          <w:numId w:val="8"/>
        </w:numPr>
        <w:rPr>
          <w:szCs w:val="22"/>
        </w:rPr>
      </w:pPr>
      <w:r w:rsidRPr="00AD7704">
        <w:rPr>
          <w:iCs/>
          <w:szCs w:val="22"/>
        </w:rPr>
        <w:t xml:space="preserve">Supervisor Safety Course </w:t>
      </w:r>
    </w:p>
    <w:p w:rsidR="00151580" w:rsidRPr="00AD7704" w:rsidRDefault="00151580" w:rsidP="00151580">
      <w:pPr>
        <w:numPr>
          <w:ilvl w:val="0"/>
          <w:numId w:val="8"/>
        </w:numPr>
        <w:rPr>
          <w:szCs w:val="22"/>
        </w:rPr>
      </w:pPr>
      <w:r w:rsidRPr="00AD7704">
        <w:rPr>
          <w:szCs w:val="22"/>
        </w:rPr>
        <w:t>Public Speaking at various events</w:t>
      </w:r>
    </w:p>
    <w:p w:rsidR="00151580" w:rsidRPr="00AD7704" w:rsidRDefault="00151580" w:rsidP="00151580">
      <w:pPr>
        <w:numPr>
          <w:ilvl w:val="0"/>
          <w:numId w:val="8"/>
        </w:numPr>
        <w:rPr>
          <w:szCs w:val="22"/>
        </w:rPr>
      </w:pPr>
      <w:r w:rsidRPr="00AD7704">
        <w:rPr>
          <w:szCs w:val="22"/>
        </w:rPr>
        <w:t>CAALL National Video Contest</w:t>
      </w:r>
      <w:r w:rsidR="006502A8" w:rsidRPr="00AD7704">
        <w:rPr>
          <w:szCs w:val="22"/>
        </w:rPr>
        <w:t xml:space="preserve"> (</w:t>
      </w:r>
      <w:r w:rsidR="00C444B0" w:rsidRPr="00AD7704">
        <w:rPr>
          <w:szCs w:val="22"/>
        </w:rPr>
        <w:t>successful</w:t>
      </w:r>
      <w:r w:rsidR="006502A8" w:rsidRPr="00AD7704">
        <w:rPr>
          <w:szCs w:val="22"/>
        </w:rPr>
        <w:t xml:space="preserve"> submission)</w:t>
      </w:r>
    </w:p>
    <w:p w:rsidR="00151580" w:rsidRPr="00AD7704" w:rsidRDefault="006502A8" w:rsidP="00151580">
      <w:pPr>
        <w:numPr>
          <w:ilvl w:val="0"/>
          <w:numId w:val="8"/>
        </w:numPr>
        <w:rPr>
          <w:szCs w:val="22"/>
        </w:rPr>
      </w:pPr>
      <w:r w:rsidRPr="00AD7704">
        <w:rPr>
          <w:szCs w:val="22"/>
        </w:rPr>
        <w:t>Skills Canada Competition</w:t>
      </w:r>
      <w:r w:rsidR="00C444B0" w:rsidRPr="00AD7704">
        <w:rPr>
          <w:szCs w:val="22"/>
        </w:rPr>
        <w:t>s</w:t>
      </w:r>
    </w:p>
    <w:p w:rsidR="00C444B0" w:rsidRPr="00AD7704" w:rsidRDefault="00151580" w:rsidP="00151580">
      <w:pPr>
        <w:numPr>
          <w:ilvl w:val="0"/>
          <w:numId w:val="8"/>
        </w:numPr>
        <w:rPr>
          <w:szCs w:val="22"/>
        </w:rPr>
      </w:pPr>
      <w:proofErr w:type="spellStart"/>
      <w:r w:rsidRPr="00E312CD">
        <w:rPr>
          <w:i/>
          <w:szCs w:val="22"/>
        </w:rPr>
        <w:t>SafetyNet</w:t>
      </w:r>
      <w:proofErr w:type="spellEnd"/>
      <w:r w:rsidRPr="00AD7704">
        <w:rPr>
          <w:szCs w:val="22"/>
        </w:rPr>
        <w:t xml:space="preserve"> monthly e-newsletter (reconfigured from </w:t>
      </w:r>
      <w:r w:rsidR="00F71EF0" w:rsidRPr="00AD7704">
        <w:rPr>
          <w:szCs w:val="22"/>
        </w:rPr>
        <w:t>seasonal e-magazine)</w:t>
      </w:r>
    </w:p>
    <w:p w:rsidR="00151580" w:rsidRPr="00AD7704" w:rsidRDefault="00E2642F" w:rsidP="00C444B0">
      <w:pPr>
        <w:numPr>
          <w:ilvl w:val="1"/>
          <w:numId w:val="8"/>
        </w:numPr>
        <w:rPr>
          <w:szCs w:val="22"/>
        </w:rPr>
      </w:pPr>
      <w:r w:rsidRPr="00AD7704">
        <w:rPr>
          <w:szCs w:val="22"/>
        </w:rPr>
        <w:t>A</w:t>
      </w:r>
      <w:r w:rsidR="00F71EF0" w:rsidRPr="00AD7704">
        <w:rPr>
          <w:szCs w:val="22"/>
        </w:rPr>
        <w:t>lternate</w:t>
      </w:r>
      <w:r w:rsidR="00C444B0" w:rsidRPr="00AD7704">
        <w:rPr>
          <w:szCs w:val="22"/>
        </w:rPr>
        <w:t>s</w:t>
      </w:r>
      <w:r w:rsidR="00F71EF0" w:rsidRPr="00AD7704">
        <w:rPr>
          <w:szCs w:val="22"/>
        </w:rPr>
        <w:t xml:space="preserve"> between general </w:t>
      </w:r>
      <w:r w:rsidR="00C444B0" w:rsidRPr="00AD7704">
        <w:rPr>
          <w:szCs w:val="22"/>
        </w:rPr>
        <w:t xml:space="preserve">topics </w:t>
      </w:r>
      <w:r w:rsidR="00F71EF0" w:rsidRPr="00AD7704">
        <w:rPr>
          <w:szCs w:val="22"/>
        </w:rPr>
        <w:t xml:space="preserve">newsletter </w:t>
      </w:r>
      <w:r w:rsidR="00C444B0" w:rsidRPr="00AD7704">
        <w:rPr>
          <w:szCs w:val="22"/>
        </w:rPr>
        <w:t>and</w:t>
      </w:r>
      <w:r w:rsidR="00F71EF0" w:rsidRPr="00AD7704">
        <w:rPr>
          <w:szCs w:val="22"/>
        </w:rPr>
        <w:t xml:space="preserve"> in-depth safety articles.</w:t>
      </w:r>
    </w:p>
    <w:p w:rsidR="00F71EF0" w:rsidRPr="00AD7704" w:rsidRDefault="00E312CD" w:rsidP="00AD7704">
      <w:pPr>
        <w:numPr>
          <w:ilvl w:val="0"/>
          <w:numId w:val="8"/>
        </w:numPr>
        <w:tabs>
          <w:tab w:val="left" w:pos="720"/>
        </w:tabs>
        <w:rPr>
          <w:szCs w:val="22"/>
          <w:lang w:val="fr-CA"/>
        </w:rPr>
      </w:pPr>
      <w:r w:rsidRPr="00AD7704">
        <w:rPr>
          <w:szCs w:val="22"/>
          <w:lang w:val="fr-CA"/>
        </w:rPr>
        <w:t>Web Site</w:t>
      </w:r>
      <w:r w:rsidR="00F71EF0" w:rsidRPr="00AD7704">
        <w:rPr>
          <w:szCs w:val="22"/>
          <w:lang w:val="fr-CA"/>
        </w:rPr>
        <w:t xml:space="preserve"> </w:t>
      </w:r>
      <w:r w:rsidR="00F71EF0" w:rsidRPr="00AD7704">
        <w:rPr>
          <w:szCs w:val="22"/>
        </w:rPr>
        <w:t>development</w:t>
      </w:r>
      <w:r w:rsidR="00F71EF0" w:rsidRPr="00AD7704">
        <w:rPr>
          <w:szCs w:val="22"/>
          <w:lang w:val="fr-CA"/>
        </w:rPr>
        <w:t xml:space="preserve">, restructure, content </w:t>
      </w:r>
      <w:r w:rsidR="00F71EF0" w:rsidRPr="00AD7704">
        <w:rPr>
          <w:szCs w:val="22"/>
        </w:rPr>
        <w:t>review</w:t>
      </w:r>
      <w:r w:rsidR="00F71EF0" w:rsidRPr="00AD7704">
        <w:rPr>
          <w:szCs w:val="22"/>
          <w:lang w:val="fr-CA"/>
        </w:rPr>
        <w:t xml:space="preserve"> and update and beta-</w:t>
      </w:r>
      <w:r w:rsidR="00F71EF0" w:rsidRPr="00E312CD">
        <w:rPr>
          <w:szCs w:val="22"/>
        </w:rPr>
        <w:t>testing</w:t>
      </w:r>
      <w:r w:rsidR="00F71EF0" w:rsidRPr="00AD7704">
        <w:rPr>
          <w:szCs w:val="22"/>
          <w:lang w:val="fr-CA"/>
        </w:rPr>
        <w:t xml:space="preserve"> (</w:t>
      </w:r>
      <w:r w:rsidR="00F71EF0" w:rsidRPr="00E312CD">
        <w:rPr>
          <w:szCs w:val="22"/>
        </w:rPr>
        <w:t>launched</w:t>
      </w:r>
      <w:r w:rsidR="00F71EF0" w:rsidRPr="00AD7704">
        <w:rPr>
          <w:szCs w:val="22"/>
          <w:lang w:val="fr-CA"/>
        </w:rPr>
        <w:t xml:space="preserve"> </w:t>
      </w:r>
      <w:r w:rsidR="00F71EF0" w:rsidRPr="00E312CD">
        <w:rPr>
          <w:szCs w:val="22"/>
        </w:rPr>
        <w:t>January</w:t>
      </w:r>
      <w:r w:rsidR="00F71EF0" w:rsidRPr="00AD7704">
        <w:rPr>
          <w:szCs w:val="22"/>
          <w:lang w:val="fr-CA"/>
        </w:rPr>
        <w:t>, 2015)</w:t>
      </w:r>
    </w:p>
    <w:p w:rsidR="00C96BE1" w:rsidRPr="00910BF8" w:rsidRDefault="00C96BE1" w:rsidP="00D15B22">
      <w:pPr>
        <w:rPr>
          <w:sz w:val="20"/>
          <w:szCs w:val="22"/>
        </w:rPr>
      </w:pPr>
    </w:p>
    <w:p w:rsidR="00151580" w:rsidRPr="00910BF8" w:rsidRDefault="005549B5" w:rsidP="006502A8">
      <w:pPr>
        <w:pStyle w:val="ListParagraph"/>
        <w:numPr>
          <w:ilvl w:val="0"/>
          <w:numId w:val="19"/>
        </w:numPr>
        <w:rPr>
          <w:sz w:val="20"/>
          <w:szCs w:val="22"/>
        </w:rPr>
      </w:pPr>
      <w:r w:rsidRPr="00910BF8">
        <w:rPr>
          <w:b/>
          <w:bCs/>
          <w:sz w:val="20"/>
          <w:szCs w:val="22"/>
        </w:rPr>
        <w:t xml:space="preserve">2014 </w:t>
      </w:r>
      <w:r w:rsidR="00151580" w:rsidRPr="00910BF8">
        <w:rPr>
          <w:b/>
          <w:bCs/>
          <w:sz w:val="20"/>
          <w:szCs w:val="22"/>
        </w:rPr>
        <w:t>Statistics/</w:t>
      </w:r>
      <w:proofErr w:type="spellStart"/>
      <w:r w:rsidR="00151580" w:rsidRPr="00910BF8">
        <w:rPr>
          <w:b/>
          <w:bCs/>
          <w:sz w:val="20"/>
          <w:szCs w:val="22"/>
        </w:rPr>
        <w:t>Statistiques</w:t>
      </w:r>
      <w:proofErr w:type="spellEnd"/>
      <w:r w:rsidRPr="00910BF8">
        <w:rPr>
          <w:b/>
          <w:bCs/>
          <w:sz w:val="20"/>
          <w:szCs w:val="22"/>
        </w:rPr>
        <w:t xml:space="preserve"> 2014 </w:t>
      </w:r>
      <w:r w:rsidR="00151580" w:rsidRPr="00910BF8">
        <w:rPr>
          <w:b/>
          <w:bCs/>
          <w:sz w:val="20"/>
          <w:szCs w:val="22"/>
        </w:rPr>
        <w:t>:</w:t>
      </w:r>
    </w:p>
    <w:p w:rsidR="005549B5" w:rsidRPr="00910BF8" w:rsidRDefault="005549B5" w:rsidP="00151580">
      <w:pPr>
        <w:tabs>
          <w:tab w:val="left" w:pos="720"/>
        </w:tabs>
        <w:ind w:left="360"/>
        <w:rPr>
          <w:rFonts w:eastAsiaTheme="minorHAnsi" w:cs="MyriadPro-Regular"/>
          <w:sz w:val="20"/>
          <w:szCs w:val="22"/>
          <w:lang w:val="en-US"/>
        </w:rPr>
      </w:pPr>
    </w:p>
    <w:p w:rsidR="00151580" w:rsidRPr="00910BF8" w:rsidRDefault="005549B5" w:rsidP="00151580">
      <w:pPr>
        <w:tabs>
          <w:tab w:val="left" w:pos="720"/>
        </w:tabs>
        <w:ind w:left="360"/>
        <w:rPr>
          <w:sz w:val="20"/>
          <w:szCs w:val="22"/>
        </w:rPr>
      </w:pPr>
      <w:r w:rsidRPr="00910BF8">
        <w:rPr>
          <w:rFonts w:eastAsiaTheme="minorHAnsi" w:cs="MyriadPro-Regular"/>
          <w:sz w:val="20"/>
          <w:szCs w:val="22"/>
          <w:lang w:val="en-US"/>
        </w:rPr>
        <w:t>A total of 834 employer inspections were conducted in 2014, with 1,558 orders given</w:t>
      </w:r>
    </w:p>
    <w:p w:rsidR="005549B5" w:rsidRPr="00910BF8" w:rsidRDefault="005549B5" w:rsidP="00950A52">
      <w:pPr>
        <w:tabs>
          <w:tab w:val="clear" w:pos="360"/>
        </w:tabs>
        <w:adjustRightInd w:val="0"/>
        <w:ind w:left="360"/>
        <w:rPr>
          <w:rFonts w:eastAsiaTheme="minorHAnsi" w:cs="MyriadPro-Regular"/>
          <w:sz w:val="20"/>
          <w:szCs w:val="22"/>
          <w:lang w:val="en-US"/>
        </w:rPr>
      </w:pPr>
    </w:p>
    <w:p w:rsidR="00950A52" w:rsidRPr="00910BF8" w:rsidRDefault="00950A52" w:rsidP="00950A52">
      <w:pPr>
        <w:tabs>
          <w:tab w:val="clear" w:pos="360"/>
        </w:tabs>
        <w:adjustRightInd w:val="0"/>
        <w:ind w:left="360"/>
        <w:rPr>
          <w:rFonts w:eastAsiaTheme="minorHAnsi" w:cs="MyriadPro-Regular"/>
          <w:sz w:val="20"/>
          <w:szCs w:val="22"/>
          <w:lang w:val="en-US"/>
        </w:rPr>
      </w:pPr>
      <w:r w:rsidRPr="00910BF8">
        <w:rPr>
          <w:rFonts w:eastAsiaTheme="minorHAnsi" w:cs="MyriadPro-Regular"/>
          <w:sz w:val="20"/>
          <w:szCs w:val="22"/>
          <w:lang w:val="en-US"/>
        </w:rPr>
        <w:t>Inspections</w:t>
      </w:r>
      <w:r w:rsidRPr="00910BF8">
        <w:rPr>
          <w:rFonts w:eastAsiaTheme="minorHAnsi" w:cs="MyriadPro-Regular"/>
          <w:sz w:val="20"/>
          <w:szCs w:val="22"/>
          <w:lang w:val="en-US"/>
        </w:rPr>
        <w:br/>
      </w:r>
      <w:r w:rsidR="00745575" w:rsidRPr="00910BF8">
        <w:rPr>
          <w:rFonts w:eastAsiaTheme="minorHAnsi" w:cs="MyriadPro-Regular"/>
          <w:sz w:val="20"/>
          <w:szCs w:val="22"/>
          <w:lang w:val="en-US"/>
        </w:rPr>
        <w:t>71.8% of inspections were conducted in the Northwest Territories (599 inspections) and 28.2% of them were conducted in Nunavut (235 inspections). Class 4 (Construction) had the most inspections overall – a total of 300 or 36.0% of all inspections in 2014. Class 8 (Public Administration &amp; Defense) had the next highest number of inspections with 251 or 30.1% of the total, then Class 6 (Trade) with 102 inspections or 12.2% of the total.</w:t>
      </w:r>
    </w:p>
    <w:p w:rsidR="00950A52" w:rsidRPr="00910BF8" w:rsidRDefault="00950A52" w:rsidP="00950A52">
      <w:pPr>
        <w:tabs>
          <w:tab w:val="clear" w:pos="360"/>
        </w:tabs>
        <w:adjustRightInd w:val="0"/>
        <w:ind w:left="360"/>
        <w:rPr>
          <w:rFonts w:eastAsiaTheme="minorHAnsi" w:cs="MyriadPro-Regular"/>
          <w:sz w:val="20"/>
          <w:szCs w:val="22"/>
          <w:lang w:val="en-US"/>
        </w:rPr>
      </w:pPr>
    </w:p>
    <w:p w:rsidR="00950A52" w:rsidRPr="00910BF8" w:rsidRDefault="00950A52" w:rsidP="00950A52">
      <w:pPr>
        <w:tabs>
          <w:tab w:val="clear" w:pos="360"/>
        </w:tabs>
        <w:adjustRightInd w:val="0"/>
        <w:ind w:left="360"/>
        <w:rPr>
          <w:rFonts w:eastAsiaTheme="minorHAnsi" w:cs="MyriadPro-Regular"/>
          <w:sz w:val="20"/>
          <w:szCs w:val="22"/>
          <w:lang w:val="en-US"/>
        </w:rPr>
      </w:pPr>
      <w:r w:rsidRPr="00910BF8">
        <w:rPr>
          <w:rFonts w:eastAsiaTheme="minorHAnsi" w:cs="MyriadPro-Regular"/>
          <w:sz w:val="20"/>
          <w:szCs w:val="22"/>
          <w:lang w:val="en-US"/>
        </w:rPr>
        <w:t>Orders</w:t>
      </w:r>
    </w:p>
    <w:p w:rsidR="005549B5" w:rsidRPr="00910BF8" w:rsidRDefault="00950A52" w:rsidP="005549B5">
      <w:pPr>
        <w:tabs>
          <w:tab w:val="clear" w:pos="360"/>
        </w:tabs>
        <w:adjustRightInd w:val="0"/>
        <w:ind w:left="360"/>
        <w:rPr>
          <w:rFonts w:eastAsiaTheme="minorHAnsi" w:cs="MyriadPro-Regular"/>
          <w:sz w:val="20"/>
          <w:szCs w:val="22"/>
          <w:lang w:val="en-US"/>
        </w:rPr>
      </w:pPr>
      <w:r w:rsidRPr="00910BF8">
        <w:rPr>
          <w:rFonts w:eastAsiaTheme="minorHAnsi" w:cs="MyriadPro-Regular"/>
          <w:sz w:val="20"/>
          <w:szCs w:val="22"/>
          <w:lang w:val="en-US"/>
        </w:rPr>
        <w:t>A total of 1,558 orders were given in 2014 and in general the number of orders closely correlates with the number of inspections per each industry class. On average, 2.1 orders were given per inspection. Class 2 (Mining) has the highest rate of orders with 7.3 orders per inspections on average, followed by Class 3 (Oil &amp; Gas) with 5.0 orders per inspection, and Class 8 (Public Administration &amp; Defense) with 2.0 orders per inspection. The lowest rate of orders is with employers in Class 1 (Renewable Resources &amp; Outdoor Recreation) with 0.5 orders per inspection and then Class 4 (Construction) with 1.0 orders per inspection on average.</w:t>
      </w:r>
    </w:p>
    <w:p w:rsidR="005549B5" w:rsidRPr="00910BF8" w:rsidRDefault="005549B5" w:rsidP="005549B5">
      <w:pPr>
        <w:tabs>
          <w:tab w:val="clear" w:pos="360"/>
        </w:tabs>
        <w:adjustRightInd w:val="0"/>
        <w:ind w:left="360"/>
        <w:rPr>
          <w:rFonts w:eastAsiaTheme="minorHAnsi" w:cs="MyriadPro-Regular"/>
          <w:sz w:val="20"/>
          <w:szCs w:val="22"/>
          <w:lang w:val="en-US"/>
        </w:rPr>
      </w:pPr>
    </w:p>
    <w:p w:rsidR="005549B5" w:rsidRPr="00910BF8" w:rsidRDefault="005549B5" w:rsidP="005549B5">
      <w:pPr>
        <w:tabs>
          <w:tab w:val="clear" w:pos="360"/>
        </w:tabs>
        <w:adjustRightInd w:val="0"/>
        <w:ind w:left="360"/>
        <w:rPr>
          <w:rFonts w:eastAsiaTheme="minorHAnsi" w:cs="MyriadPro-Regular"/>
          <w:sz w:val="20"/>
          <w:szCs w:val="22"/>
          <w:lang w:val="en-US"/>
        </w:rPr>
      </w:pPr>
      <w:r w:rsidRPr="00910BF8">
        <w:rPr>
          <w:rFonts w:eastAsiaTheme="minorHAnsi" w:cs="MyriadPro-Regular"/>
          <w:sz w:val="20"/>
          <w:szCs w:val="22"/>
          <w:lang w:val="en-US"/>
        </w:rPr>
        <w:t>85.3% of inspections closed (all orders have been complied with). Of all the closed inspections 86.8% were closed by the compliance date, which is the latest order “required date” for all orders that came out of that inspection. This is a lower rate of compliance compared with prior years; in 2013 where 90.75% inspections were closed by the compliance date and the prior 5-year average is 93.5%. In 2014, 6.3% of closed inspections were closed in the two week period following the latest compliance required date and the remaining 6.9% of closed inspections were closed more than two weeks after the latest order compliance required date.</w:t>
      </w:r>
    </w:p>
    <w:p w:rsidR="00950A52" w:rsidRPr="00910BF8" w:rsidRDefault="00950A52" w:rsidP="00950A52">
      <w:pPr>
        <w:tabs>
          <w:tab w:val="left" w:pos="720"/>
        </w:tabs>
        <w:ind w:left="360"/>
        <w:rPr>
          <w:rFonts w:ascii="MyriadPro-Regular" w:eastAsiaTheme="minorHAnsi" w:hAnsi="MyriadPro-Regular" w:cs="MyriadPro-Regular"/>
          <w:sz w:val="20"/>
          <w:szCs w:val="22"/>
          <w:lang w:val="en-US"/>
        </w:rPr>
      </w:pPr>
    </w:p>
    <w:p w:rsidR="00950A52" w:rsidRPr="00910BF8" w:rsidRDefault="00950A52" w:rsidP="00950A52">
      <w:pPr>
        <w:tabs>
          <w:tab w:val="left" w:pos="720"/>
        </w:tabs>
        <w:ind w:left="360"/>
        <w:rPr>
          <w:sz w:val="20"/>
          <w:szCs w:val="22"/>
          <w:highlight w:val="yellow"/>
        </w:rPr>
      </w:pPr>
    </w:p>
    <w:tbl>
      <w:tblPr>
        <w:tblStyle w:val="TableGrid"/>
        <w:tblW w:w="0" w:type="auto"/>
        <w:tblInd w:w="360" w:type="dxa"/>
        <w:tblLook w:val="04A0" w:firstRow="1" w:lastRow="0" w:firstColumn="1" w:lastColumn="0" w:noHBand="0" w:noVBand="1"/>
      </w:tblPr>
      <w:tblGrid>
        <w:gridCol w:w="2088"/>
        <w:gridCol w:w="4057"/>
        <w:gridCol w:w="3071"/>
      </w:tblGrid>
      <w:tr w:rsidR="005549B5" w:rsidRPr="00910BF8" w:rsidTr="00151580">
        <w:tc>
          <w:tcPr>
            <w:tcW w:w="2088" w:type="dxa"/>
            <w:tcBorders>
              <w:top w:val="single" w:sz="4" w:space="0" w:color="auto"/>
              <w:left w:val="single" w:sz="4" w:space="0" w:color="auto"/>
              <w:bottom w:val="single" w:sz="4" w:space="0" w:color="auto"/>
              <w:right w:val="single" w:sz="4" w:space="0" w:color="auto"/>
            </w:tcBorders>
            <w:hideMark/>
          </w:tcPr>
          <w:p w:rsidR="00151580" w:rsidRPr="00910BF8" w:rsidRDefault="00151580">
            <w:pPr>
              <w:tabs>
                <w:tab w:val="left" w:pos="720"/>
              </w:tabs>
              <w:rPr>
                <w:rFonts w:asciiTheme="minorHAnsi" w:hAnsiTheme="minorHAnsi"/>
                <w:b/>
                <w:szCs w:val="22"/>
              </w:rPr>
            </w:pPr>
            <w:r w:rsidRPr="00910BF8">
              <w:rPr>
                <w:rFonts w:asciiTheme="minorHAnsi" w:hAnsiTheme="minorHAnsi"/>
                <w:b/>
                <w:szCs w:val="22"/>
              </w:rPr>
              <w:t>Date of Incident</w:t>
            </w:r>
          </w:p>
        </w:tc>
        <w:tc>
          <w:tcPr>
            <w:tcW w:w="4057" w:type="dxa"/>
            <w:tcBorders>
              <w:top w:val="single" w:sz="4" w:space="0" w:color="auto"/>
              <w:left w:val="single" w:sz="4" w:space="0" w:color="auto"/>
              <w:bottom w:val="single" w:sz="4" w:space="0" w:color="auto"/>
              <w:right w:val="single" w:sz="4" w:space="0" w:color="auto"/>
            </w:tcBorders>
            <w:hideMark/>
          </w:tcPr>
          <w:p w:rsidR="00151580" w:rsidRPr="00910BF8" w:rsidRDefault="00151580">
            <w:pPr>
              <w:tabs>
                <w:tab w:val="left" w:pos="720"/>
              </w:tabs>
              <w:rPr>
                <w:rFonts w:asciiTheme="minorHAnsi" w:hAnsiTheme="minorHAnsi"/>
                <w:b/>
                <w:szCs w:val="22"/>
              </w:rPr>
            </w:pPr>
            <w:r w:rsidRPr="00910BF8">
              <w:rPr>
                <w:rFonts w:asciiTheme="minorHAnsi" w:hAnsiTheme="minorHAnsi"/>
                <w:b/>
                <w:szCs w:val="22"/>
              </w:rPr>
              <w:t>Summary of Incident</w:t>
            </w:r>
          </w:p>
        </w:tc>
        <w:tc>
          <w:tcPr>
            <w:tcW w:w="3071" w:type="dxa"/>
            <w:tcBorders>
              <w:top w:val="single" w:sz="4" w:space="0" w:color="auto"/>
              <w:left w:val="single" w:sz="4" w:space="0" w:color="auto"/>
              <w:bottom w:val="single" w:sz="4" w:space="0" w:color="auto"/>
              <w:right w:val="single" w:sz="4" w:space="0" w:color="auto"/>
            </w:tcBorders>
            <w:hideMark/>
          </w:tcPr>
          <w:p w:rsidR="00151580" w:rsidRPr="00910BF8" w:rsidRDefault="00137437">
            <w:pPr>
              <w:tabs>
                <w:tab w:val="left" w:pos="720"/>
              </w:tabs>
              <w:rPr>
                <w:rFonts w:asciiTheme="minorHAnsi" w:hAnsiTheme="minorHAnsi"/>
                <w:b/>
                <w:szCs w:val="22"/>
              </w:rPr>
            </w:pPr>
            <w:r w:rsidRPr="00910BF8">
              <w:rPr>
                <w:rFonts w:asciiTheme="minorHAnsi" w:hAnsiTheme="minorHAnsi"/>
                <w:b/>
                <w:szCs w:val="22"/>
              </w:rPr>
              <w:t>Investigation Status</w:t>
            </w:r>
          </w:p>
        </w:tc>
      </w:tr>
      <w:tr w:rsidR="005549B5" w:rsidRPr="00910BF8" w:rsidTr="00BB56E8">
        <w:tc>
          <w:tcPr>
            <w:tcW w:w="2088" w:type="dxa"/>
            <w:tcBorders>
              <w:top w:val="single" w:sz="4" w:space="0" w:color="auto"/>
              <w:left w:val="single" w:sz="4" w:space="0" w:color="auto"/>
              <w:bottom w:val="single" w:sz="4" w:space="0" w:color="auto"/>
              <w:right w:val="single" w:sz="4" w:space="0" w:color="auto"/>
            </w:tcBorders>
            <w:vAlign w:val="center"/>
            <w:hideMark/>
          </w:tcPr>
          <w:p w:rsidR="00137437" w:rsidRPr="00910BF8" w:rsidRDefault="00137437" w:rsidP="00EB7D32">
            <w:pPr>
              <w:pStyle w:val="ListBullet"/>
              <w:numPr>
                <w:ilvl w:val="0"/>
                <w:numId w:val="0"/>
              </w:numPr>
              <w:rPr>
                <w:rFonts w:asciiTheme="minorHAnsi" w:hAnsiTheme="minorHAnsi"/>
                <w:szCs w:val="22"/>
              </w:rPr>
            </w:pPr>
            <w:r w:rsidRPr="00910BF8">
              <w:rPr>
                <w:rFonts w:asciiTheme="minorHAnsi" w:hAnsiTheme="minorHAnsi"/>
                <w:szCs w:val="22"/>
              </w:rPr>
              <w:t>26-May-14</w:t>
            </w:r>
          </w:p>
        </w:tc>
        <w:tc>
          <w:tcPr>
            <w:tcW w:w="4057" w:type="dxa"/>
            <w:tcBorders>
              <w:top w:val="single" w:sz="4" w:space="0" w:color="auto"/>
              <w:left w:val="single" w:sz="4" w:space="0" w:color="auto"/>
              <w:bottom w:val="single" w:sz="4" w:space="0" w:color="auto"/>
              <w:right w:val="single" w:sz="4" w:space="0" w:color="auto"/>
            </w:tcBorders>
            <w:vAlign w:val="center"/>
            <w:hideMark/>
          </w:tcPr>
          <w:p w:rsidR="00137437" w:rsidRPr="00910BF8" w:rsidRDefault="00941529" w:rsidP="00941529">
            <w:pPr>
              <w:rPr>
                <w:rFonts w:asciiTheme="minorHAnsi" w:hAnsiTheme="minorHAnsi"/>
                <w:szCs w:val="22"/>
              </w:rPr>
            </w:pPr>
            <w:r w:rsidRPr="00910BF8">
              <w:rPr>
                <w:rFonts w:asciiTheme="minorHAnsi" w:hAnsiTheme="minorHAnsi"/>
                <w:szCs w:val="22"/>
              </w:rPr>
              <w:t>Serious Accident</w:t>
            </w:r>
            <w:r w:rsidRPr="00910BF8">
              <w:rPr>
                <w:rFonts w:asciiTheme="minorHAnsi" w:hAnsiTheme="minorHAnsi"/>
                <w:szCs w:val="22"/>
              </w:rPr>
              <w:br/>
            </w:r>
            <w:r w:rsidR="00137437" w:rsidRPr="00910BF8">
              <w:rPr>
                <w:rFonts w:asciiTheme="minorHAnsi" w:hAnsiTheme="minorHAnsi"/>
                <w:szCs w:val="22"/>
              </w:rPr>
              <w:t>Worker/Owner crushed between two machines by Tele-handler moving</w:t>
            </w:r>
            <w:r w:rsidRPr="00910BF8">
              <w:rPr>
                <w:rFonts w:asciiTheme="minorHAnsi" w:hAnsiTheme="minorHAnsi"/>
                <w:szCs w:val="22"/>
              </w:rPr>
              <w:t xml:space="preserve"> </w:t>
            </w:r>
            <w:r w:rsidR="00137437" w:rsidRPr="00910BF8">
              <w:rPr>
                <w:rFonts w:asciiTheme="minorHAnsi" w:hAnsiTheme="minorHAnsi"/>
                <w:szCs w:val="22"/>
              </w:rPr>
              <w:t>a large pump.</w:t>
            </w:r>
            <w:r w:rsidR="00862A71">
              <w:rPr>
                <w:rFonts w:asciiTheme="minorHAnsi" w:hAnsiTheme="minorHAnsi"/>
                <w:szCs w:val="22"/>
              </w:rPr>
              <w:t xml:space="preserve"> </w:t>
            </w:r>
            <w:r w:rsidR="00137437" w:rsidRPr="00910BF8">
              <w:rPr>
                <w:rFonts w:asciiTheme="minorHAnsi" w:hAnsiTheme="minorHAnsi"/>
                <w:szCs w:val="22"/>
              </w:rPr>
              <w:t>Worker in serious condition.</w:t>
            </w:r>
          </w:p>
        </w:tc>
        <w:tc>
          <w:tcPr>
            <w:tcW w:w="3071" w:type="dxa"/>
            <w:tcBorders>
              <w:top w:val="single" w:sz="4" w:space="0" w:color="auto"/>
              <w:left w:val="single" w:sz="4" w:space="0" w:color="auto"/>
              <w:bottom w:val="single" w:sz="4" w:space="0" w:color="auto"/>
              <w:right w:val="single" w:sz="4" w:space="0" w:color="auto"/>
            </w:tcBorders>
            <w:vAlign w:val="center"/>
            <w:hideMark/>
          </w:tcPr>
          <w:p w:rsidR="00137437" w:rsidRPr="00910BF8" w:rsidRDefault="00137437" w:rsidP="00137437">
            <w:pPr>
              <w:rPr>
                <w:rFonts w:asciiTheme="minorHAnsi" w:hAnsiTheme="minorHAnsi"/>
                <w:szCs w:val="22"/>
              </w:rPr>
            </w:pPr>
            <w:r w:rsidRPr="00910BF8">
              <w:rPr>
                <w:rFonts w:asciiTheme="minorHAnsi" w:hAnsiTheme="minorHAnsi"/>
                <w:szCs w:val="22"/>
              </w:rPr>
              <w:t>Investigation in Progress</w:t>
            </w:r>
          </w:p>
        </w:tc>
      </w:tr>
      <w:tr w:rsidR="005549B5" w:rsidRPr="00910BF8" w:rsidTr="00BB56E8">
        <w:tc>
          <w:tcPr>
            <w:tcW w:w="2088" w:type="dxa"/>
            <w:tcBorders>
              <w:top w:val="single" w:sz="4" w:space="0" w:color="auto"/>
              <w:left w:val="single" w:sz="4" w:space="0" w:color="auto"/>
              <w:bottom w:val="single" w:sz="4" w:space="0" w:color="auto"/>
              <w:right w:val="single" w:sz="4" w:space="0" w:color="auto"/>
            </w:tcBorders>
            <w:vAlign w:val="center"/>
            <w:hideMark/>
          </w:tcPr>
          <w:p w:rsidR="00137437" w:rsidRPr="00910BF8" w:rsidRDefault="00137437" w:rsidP="00EB7D32">
            <w:pPr>
              <w:pStyle w:val="ListBullet"/>
              <w:numPr>
                <w:ilvl w:val="0"/>
                <w:numId w:val="0"/>
              </w:numPr>
              <w:rPr>
                <w:rFonts w:asciiTheme="minorHAnsi" w:hAnsiTheme="minorHAnsi"/>
                <w:szCs w:val="22"/>
              </w:rPr>
            </w:pPr>
            <w:r w:rsidRPr="00910BF8">
              <w:rPr>
                <w:rFonts w:asciiTheme="minorHAnsi" w:hAnsiTheme="minorHAnsi"/>
                <w:szCs w:val="22"/>
              </w:rPr>
              <w:t>25-Jun-14</w:t>
            </w:r>
          </w:p>
        </w:tc>
        <w:tc>
          <w:tcPr>
            <w:tcW w:w="4057" w:type="dxa"/>
            <w:tcBorders>
              <w:top w:val="single" w:sz="4" w:space="0" w:color="auto"/>
              <w:left w:val="single" w:sz="4" w:space="0" w:color="auto"/>
              <w:bottom w:val="single" w:sz="4" w:space="0" w:color="auto"/>
              <w:right w:val="single" w:sz="4" w:space="0" w:color="auto"/>
            </w:tcBorders>
            <w:vAlign w:val="center"/>
            <w:hideMark/>
          </w:tcPr>
          <w:p w:rsidR="00137437" w:rsidRPr="00910BF8" w:rsidRDefault="00137437">
            <w:pPr>
              <w:rPr>
                <w:rFonts w:asciiTheme="minorHAnsi" w:hAnsiTheme="minorHAnsi"/>
                <w:szCs w:val="22"/>
              </w:rPr>
            </w:pPr>
            <w:r w:rsidRPr="00910BF8">
              <w:rPr>
                <w:rFonts w:asciiTheme="minorHAnsi" w:hAnsiTheme="minorHAnsi"/>
                <w:szCs w:val="22"/>
              </w:rPr>
              <w:t>Truck and belly-dump trailer left road and went into woods alongside Highway #1.</w:t>
            </w:r>
            <w:r w:rsidR="00941529" w:rsidRPr="00910BF8">
              <w:rPr>
                <w:rFonts w:asciiTheme="minorHAnsi" w:hAnsiTheme="minorHAnsi"/>
                <w:szCs w:val="22"/>
              </w:rPr>
              <w:br/>
              <w:t>Fatality</w:t>
            </w:r>
            <w:r w:rsidR="00950A52" w:rsidRPr="00910BF8">
              <w:rPr>
                <w:rFonts w:asciiTheme="minorHAnsi" w:hAnsiTheme="minorHAnsi"/>
                <w:szCs w:val="22"/>
              </w:rPr>
              <w:t>.</w:t>
            </w:r>
          </w:p>
        </w:tc>
        <w:tc>
          <w:tcPr>
            <w:tcW w:w="3071" w:type="dxa"/>
            <w:tcBorders>
              <w:top w:val="single" w:sz="4" w:space="0" w:color="auto"/>
              <w:left w:val="single" w:sz="4" w:space="0" w:color="auto"/>
              <w:bottom w:val="single" w:sz="4" w:space="0" w:color="auto"/>
              <w:right w:val="single" w:sz="4" w:space="0" w:color="auto"/>
            </w:tcBorders>
            <w:vAlign w:val="center"/>
            <w:hideMark/>
          </w:tcPr>
          <w:p w:rsidR="00137437" w:rsidRPr="00910BF8" w:rsidRDefault="00137437" w:rsidP="00137437">
            <w:pPr>
              <w:rPr>
                <w:rFonts w:asciiTheme="minorHAnsi" w:hAnsiTheme="minorHAnsi"/>
                <w:szCs w:val="22"/>
              </w:rPr>
            </w:pPr>
            <w:r w:rsidRPr="00910BF8">
              <w:rPr>
                <w:rFonts w:asciiTheme="minorHAnsi" w:hAnsiTheme="minorHAnsi"/>
                <w:szCs w:val="22"/>
              </w:rPr>
              <w:t>Investigation in Progress</w:t>
            </w:r>
          </w:p>
        </w:tc>
      </w:tr>
      <w:tr w:rsidR="005549B5" w:rsidRPr="00910BF8" w:rsidTr="00BB56E8">
        <w:tc>
          <w:tcPr>
            <w:tcW w:w="2088" w:type="dxa"/>
            <w:tcBorders>
              <w:top w:val="single" w:sz="4" w:space="0" w:color="auto"/>
              <w:left w:val="single" w:sz="4" w:space="0" w:color="auto"/>
              <w:bottom w:val="single" w:sz="4" w:space="0" w:color="auto"/>
              <w:right w:val="single" w:sz="4" w:space="0" w:color="auto"/>
            </w:tcBorders>
            <w:vAlign w:val="center"/>
            <w:hideMark/>
          </w:tcPr>
          <w:p w:rsidR="00137437" w:rsidRPr="00910BF8" w:rsidRDefault="00137437" w:rsidP="00EB7D32">
            <w:pPr>
              <w:pStyle w:val="ListBullet"/>
              <w:numPr>
                <w:ilvl w:val="0"/>
                <w:numId w:val="0"/>
              </w:numPr>
              <w:rPr>
                <w:rFonts w:asciiTheme="minorHAnsi" w:hAnsiTheme="minorHAnsi"/>
                <w:szCs w:val="22"/>
              </w:rPr>
            </w:pPr>
            <w:r w:rsidRPr="00910BF8">
              <w:rPr>
                <w:rFonts w:asciiTheme="minorHAnsi" w:hAnsiTheme="minorHAnsi"/>
                <w:szCs w:val="22"/>
              </w:rPr>
              <w:t>25-Sep-14</w:t>
            </w:r>
          </w:p>
        </w:tc>
        <w:tc>
          <w:tcPr>
            <w:tcW w:w="4057" w:type="dxa"/>
            <w:tcBorders>
              <w:top w:val="single" w:sz="4" w:space="0" w:color="auto"/>
              <w:left w:val="single" w:sz="4" w:space="0" w:color="auto"/>
              <w:bottom w:val="single" w:sz="4" w:space="0" w:color="auto"/>
              <w:right w:val="single" w:sz="4" w:space="0" w:color="auto"/>
            </w:tcBorders>
            <w:vAlign w:val="center"/>
            <w:hideMark/>
          </w:tcPr>
          <w:p w:rsidR="00137437" w:rsidRPr="00910BF8" w:rsidRDefault="00137437">
            <w:pPr>
              <w:rPr>
                <w:rFonts w:asciiTheme="minorHAnsi" w:hAnsiTheme="minorHAnsi"/>
                <w:szCs w:val="22"/>
              </w:rPr>
            </w:pPr>
            <w:r w:rsidRPr="00910BF8">
              <w:rPr>
                <w:rFonts w:asciiTheme="minorHAnsi" w:hAnsiTheme="minorHAnsi"/>
                <w:szCs w:val="22"/>
              </w:rPr>
              <w:t>End dump truck incident, rebar buddle fell on worker crushing his toes.</w:t>
            </w:r>
          </w:p>
        </w:tc>
        <w:tc>
          <w:tcPr>
            <w:tcW w:w="3071" w:type="dxa"/>
            <w:tcBorders>
              <w:top w:val="single" w:sz="4" w:space="0" w:color="auto"/>
              <w:left w:val="single" w:sz="4" w:space="0" w:color="auto"/>
              <w:bottom w:val="single" w:sz="4" w:space="0" w:color="auto"/>
              <w:right w:val="single" w:sz="4" w:space="0" w:color="auto"/>
            </w:tcBorders>
            <w:vAlign w:val="center"/>
            <w:hideMark/>
          </w:tcPr>
          <w:p w:rsidR="00137437" w:rsidRPr="00910BF8" w:rsidRDefault="00137437" w:rsidP="00137437">
            <w:pPr>
              <w:rPr>
                <w:rFonts w:asciiTheme="minorHAnsi" w:hAnsiTheme="minorHAnsi"/>
                <w:szCs w:val="22"/>
              </w:rPr>
            </w:pPr>
            <w:r w:rsidRPr="00910BF8">
              <w:rPr>
                <w:rFonts w:asciiTheme="minorHAnsi" w:hAnsiTheme="minorHAnsi"/>
                <w:szCs w:val="22"/>
              </w:rPr>
              <w:t>Investigation in Progress</w:t>
            </w:r>
          </w:p>
        </w:tc>
      </w:tr>
      <w:tr w:rsidR="005549B5" w:rsidRPr="00910BF8" w:rsidTr="00E5363F">
        <w:tc>
          <w:tcPr>
            <w:tcW w:w="2088" w:type="dxa"/>
            <w:tcBorders>
              <w:top w:val="single" w:sz="4" w:space="0" w:color="auto"/>
              <w:left w:val="single" w:sz="4" w:space="0" w:color="auto"/>
              <w:bottom w:val="single" w:sz="4" w:space="0" w:color="auto"/>
              <w:right w:val="single" w:sz="4" w:space="0" w:color="auto"/>
            </w:tcBorders>
            <w:vAlign w:val="center"/>
            <w:hideMark/>
          </w:tcPr>
          <w:p w:rsidR="00EB7D32" w:rsidRPr="00910BF8" w:rsidRDefault="00EB7D32" w:rsidP="00EB7D32">
            <w:pPr>
              <w:pStyle w:val="ListBullet"/>
              <w:numPr>
                <w:ilvl w:val="0"/>
                <w:numId w:val="0"/>
              </w:numPr>
              <w:rPr>
                <w:rFonts w:asciiTheme="minorHAnsi" w:hAnsiTheme="minorHAnsi"/>
                <w:szCs w:val="22"/>
              </w:rPr>
            </w:pPr>
            <w:r w:rsidRPr="00910BF8">
              <w:rPr>
                <w:rFonts w:asciiTheme="minorHAnsi" w:hAnsiTheme="minorHAnsi"/>
                <w:szCs w:val="22"/>
              </w:rPr>
              <w:t>2-Oct-14</w:t>
            </w:r>
          </w:p>
        </w:tc>
        <w:tc>
          <w:tcPr>
            <w:tcW w:w="4057" w:type="dxa"/>
            <w:tcBorders>
              <w:top w:val="single" w:sz="4" w:space="0" w:color="auto"/>
              <w:left w:val="single" w:sz="4" w:space="0" w:color="auto"/>
              <w:bottom w:val="single" w:sz="4" w:space="0" w:color="auto"/>
              <w:right w:val="single" w:sz="4" w:space="0" w:color="auto"/>
            </w:tcBorders>
            <w:vAlign w:val="center"/>
            <w:hideMark/>
          </w:tcPr>
          <w:p w:rsidR="00EB7D32" w:rsidRPr="00910BF8" w:rsidRDefault="00EB7D32" w:rsidP="00941529">
            <w:pPr>
              <w:rPr>
                <w:rFonts w:asciiTheme="minorHAnsi" w:hAnsiTheme="minorHAnsi"/>
                <w:szCs w:val="22"/>
              </w:rPr>
            </w:pPr>
            <w:r w:rsidRPr="00910BF8">
              <w:rPr>
                <w:rFonts w:asciiTheme="minorHAnsi" w:hAnsiTheme="minorHAnsi"/>
                <w:szCs w:val="22"/>
              </w:rPr>
              <w:t>Highway</w:t>
            </w:r>
            <w:r w:rsidR="00137437" w:rsidRPr="00910BF8">
              <w:rPr>
                <w:rFonts w:asciiTheme="minorHAnsi" w:hAnsiTheme="minorHAnsi"/>
                <w:szCs w:val="22"/>
              </w:rPr>
              <w:t xml:space="preserve"> </w:t>
            </w:r>
            <w:r w:rsidR="00941529" w:rsidRPr="00910BF8">
              <w:rPr>
                <w:rFonts w:asciiTheme="minorHAnsi" w:hAnsiTheme="minorHAnsi"/>
                <w:szCs w:val="22"/>
              </w:rPr>
              <w:t>fatality</w:t>
            </w:r>
            <w:r w:rsidR="00C5340A" w:rsidRPr="00910BF8">
              <w:rPr>
                <w:rFonts w:asciiTheme="minorHAnsi" w:hAnsiTheme="minorHAnsi"/>
                <w:szCs w:val="22"/>
              </w:rPr>
              <w:t>.</w:t>
            </w:r>
          </w:p>
        </w:tc>
        <w:tc>
          <w:tcPr>
            <w:tcW w:w="3071" w:type="dxa"/>
            <w:tcBorders>
              <w:top w:val="single" w:sz="4" w:space="0" w:color="auto"/>
              <w:left w:val="single" w:sz="4" w:space="0" w:color="auto"/>
              <w:bottom w:val="single" w:sz="4" w:space="0" w:color="auto"/>
              <w:right w:val="single" w:sz="4" w:space="0" w:color="auto"/>
            </w:tcBorders>
            <w:hideMark/>
          </w:tcPr>
          <w:p w:rsidR="00EB7D32" w:rsidRPr="00910BF8" w:rsidRDefault="00137437" w:rsidP="00137437">
            <w:pPr>
              <w:rPr>
                <w:rFonts w:asciiTheme="minorHAnsi" w:hAnsiTheme="minorHAnsi"/>
                <w:szCs w:val="22"/>
              </w:rPr>
            </w:pPr>
            <w:r w:rsidRPr="00910BF8">
              <w:rPr>
                <w:rFonts w:asciiTheme="minorHAnsi" w:hAnsiTheme="minorHAnsi"/>
                <w:szCs w:val="22"/>
              </w:rPr>
              <w:t>Investigation closed</w:t>
            </w:r>
          </w:p>
        </w:tc>
      </w:tr>
    </w:tbl>
    <w:p w:rsidR="00151580" w:rsidRDefault="00151580" w:rsidP="00151580">
      <w:pPr>
        <w:tabs>
          <w:tab w:val="left" w:pos="720"/>
        </w:tabs>
        <w:ind w:left="360"/>
        <w:rPr>
          <w:sz w:val="20"/>
          <w:szCs w:val="22"/>
        </w:rPr>
      </w:pPr>
    </w:p>
    <w:p w:rsidR="009620F3" w:rsidRPr="004A4005" w:rsidRDefault="004A4005" w:rsidP="009620F3">
      <w:pPr>
        <w:rPr>
          <w:b/>
          <w:sz w:val="20"/>
        </w:rPr>
      </w:pPr>
      <w:r w:rsidRPr="004A4005">
        <w:rPr>
          <w:b/>
          <w:sz w:val="20"/>
        </w:rPr>
        <w:tab/>
        <w:t>Prosecutions concluded in 2014</w:t>
      </w:r>
    </w:p>
    <w:p w:rsidR="009620F3" w:rsidRDefault="009620F3" w:rsidP="009620F3"/>
    <w:tbl>
      <w:tblPr>
        <w:tblW w:w="0" w:type="auto"/>
        <w:tblInd w:w="468" w:type="dxa"/>
        <w:tblLayout w:type="fixed"/>
        <w:tblCellMar>
          <w:left w:w="0" w:type="dxa"/>
          <w:right w:w="0" w:type="dxa"/>
        </w:tblCellMar>
        <w:tblLook w:val="04A0" w:firstRow="1" w:lastRow="0" w:firstColumn="1" w:lastColumn="0" w:noHBand="0" w:noVBand="1"/>
      </w:tblPr>
      <w:tblGrid>
        <w:gridCol w:w="2520"/>
        <w:gridCol w:w="1890"/>
        <w:gridCol w:w="4410"/>
      </w:tblGrid>
      <w:tr w:rsidR="009620F3" w:rsidTr="009620F3">
        <w:tc>
          <w:tcPr>
            <w:tcW w:w="252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9620F3" w:rsidRPr="009620F3" w:rsidRDefault="009620F3">
            <w:pPr>
              <w:rPr>
                <w:rFonts w:ascii="Calibri" w:eastAsiaTheme="minorHAnsi" w:hAnsi="Calibri"/>
                <w:bCs/>
                <w:szCs w:val="22"/>
              </w:rPr>
            </w:pPr>
            <w:r w:rsidRPr="009620F3">
              <w:rPr>
                <w:bCs/>
              </w:rPr>
              <w:t>FILE (Accused)</w:t>
            </w:r>
          </w:p>
        </w:tc>
        <w:tc>
          <w:tcPr>
            <w:tcW w:w="1890"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rsidR="009620F3" w:rsidRPr="009620F3" w:rsidRDefault="009620F3">
            <w:pPr>
              <w:rPr>
                <w:rFonts w:ascii="Calibri" w:eastAsiaTheme="minorHAnsi" w:hAnsi="Calibri"/>
                <w:bCs/>
                <w:szCs w:val="22"/>
              </w:rPr>
            </w:pPr>
            <w:r w:rsidRPr="009620F3">
              <w:rPr>
                <w:bCs/>
              </w:rPr>
              <w:t>Filing Date</w:t>
            </w:r>
          </w:p>
        </w:tc>
        <w:tc>
          <w:tcPr>
            <w:tcW w:w="4410"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rsidR="009620F3" w:rsidRPr="009620F3" w:rsidRDefault="009620F3">
            <w:pPr>
              <w:rPr>
                <w:rFonts w:ascii="Calibri" w:eastAsiaTheme="minorHAnsi" w:hAnsi="Calibri"/>
                <w:bCs/>
                <w:szCs w:val="22"/>
              </w:rPr>
            </w:pPr>
            <w:r w:rsidRPr="009620F3">
              <w:rPr>
                <w:bCs/>
              </w:rPr>
              <w:t>STATUS</w:t>
            </w:r>
          </w:p>
        </w:tc>
      </w:tr>
      <w:tr w:rsidR="009620F3" w:rsidTr="009620F3">
        <w:tc>
          <w:tcPr>
            <w:tcW w:w="25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620F3" w:rsidRPr="009620F3" w:rsidRDefault="009620F3">
            <w:pPr>
              <w:rPr>
                <w:rFonts w:ascii="Calibri" w:eastAsiaTheme="minorHAnsi" w:hAnsi="Calibri"/>
                <w:szCs w:val="22"/>
              </w:rPr>
            </w:pPr>
            <w:r w:rsidRPr="009620F3">
              <w:t>GNWT/</w:t>
            </w:r>
            <w:r>
              <w:br/>
              <w:t xml:space="preserve">Grizzly </w:t>
            </w:r>
            <w:r w:rsidRPr="009620F3">
              <w:t>Marine/</w:t>
            </w:r>
            <w:r>
              <w:br/>
            </w:r>
            <w:proofErr w:type="spellStart"/>
            <w:r w:rsidRPr="009620F3">
              <w:t>Prodromidis</w:t>
            </w:r>
            <w:proofErr w:type="spellEnd"/>
          </w:p>
          <w:p w:rsidR="009620F3" w:rsidRPr="009620F3" w:rsidRDefault="009620F3">
            <w:pPr>
              <w:rPr>
                <w:rFonts w:ascii="Calibri" w:eastAsiaTheme="minorHAnsi" w:hAnsi="Calibri"/>
                <w:szCs w:val="22"/>
              </w:rPr>
            </w:pPr>
            <w:r w:rsidRPr="009620F3">
              <w:t>(Prosecutor: John Cliffe)</w:t>
            </w:r>
          </w:p>
        </w:tc>
        <w:tc>
          <w:tcPr>
            <w:tcW w:w="1890" w:type="dxa"/>
            <w:tcBorders>
              <w:top w:val="nil"/>
              <w:left w:val="nil"/>
              <w:bottom w:val="single" w:sz="8" w:space="0" w:color="auto"/>
              <w:right w:val="single" w:sz="8" w:space="0" w:color="auto"/>
            </w:tcBorders>
            <w:tcMar>
              <w:top w:w="0" w:type="dxa"/>
              <w:left w:w="108" w:type="dxa"/>
              <w:bottom w:w="0" w:type="dxa"/>
              <w:right w:w="108" w:type="dxa"/>
            </w:tcMar>
            <w:hideMark/>
          </w:tcPr>
          <w:p w:rsidR="009620F3" w:rsidRPr="009620F3" w:rsidRDefault="009620F3">
            <w:pPr>
              <w:rPr>
                <w:rFonts w:ascii="Calibri" w:eastAsiaTheme="minorHAnsi" w:hAnsi="Calibri"/>
                <w:szCs w:val="22"/>
              </w:rPr>
            </w:pPr>
            <w:r w:rsidRPr="009620F3">
              <w:t>July 9, 2013</w:t>
            </w:r>
          </w:p>
        </w:tc>
        <w:tc>
          <w:tcPr>
            <w:tcW w:w="4410" w:type="dxa"/>
            <w:tcBorders>
              <w:top w:val="nil"/>
              <w:left w:val="nil"/>
              <w:bottom w:val="single" w:sz="8" w:space="0" w:color="auto"/>
              <w:right w:val="single" w:sz="8" w:space="0" w:color="auto"/>
            </w:tcBorders>
            <w:tcMar>
              <w:top w:w="0" w:type="dxa"/>
              <w:left w:w="108" w:type="dxa"/>
              <w:bottom w:w="0" w:type="dxa"/>
              <w:right w:w="108" w:type="dxa"/>
            </w:tcMar>
            <w:hideMark/>
          </w:tcPr>
          <w:p w:rsidR="009620F3" w:rsidRPr="009620F3" w:rsidRDefault="009620F3">
            <w:pPr>
              <w:rPr>
                <w:rFonts w:ascii="Calibri" w:eastAsiaTheme="minorHAnsi" w:hAnsi="Calibri"/>
                <w:szCs w:val="22"/>
              </w:rPr>
            </w:pPr>
            <w:r w:rsidRPr="009620F3">
              <w:t>Done – Grizzly sentenced to $7,500; GNWT/DoT sentenced to $75,000.00 plus 15% VCS; payable w/n 30 days</w:t>
            </w:r>
          </w:p>
        </w:tc>
      </w:tr>
      <w:tr w:rsidR="009620F3" w:rsidTr="009620F3">
        <w:tc>
          <w:tcPr>
            <w:tcW w:w="25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620F3" w:rsidRPr="009620F3" w:rsidRDefault="009620F3">
            <w:pPr>
              <w:rPr>
                <w:rFonts w:ascii="Calibri" w:eastAsiaTheme="minorHAnsi" w:hAnsi="Calibri"/>
                <w:szCs w:val="22"/>
              </w:rPr>
            </w:pPr>
            <w:r w:rsidRPr="009620F3">
              <w:t xml:space="preserve">Arctic Environmental  </w:t>
            </w:r>
            <w:r>
              <w:br/>
            </w:r>
            <w:r w:rsidRPr="009620F3">
              <w:t>(NUNAVUT)</w:t>
            </w:r>
            <w:r w:rsidRPr="009620F3">
              <w:br/>
              <w:t xml:space="preserve">(Prosecutor: </w:t>
            </w:r>
            <w:r>
              <w:br/>
            </w:r>
            <w:r w:rsidRPr="009620F3">
              <w:t>Doug Garson)</w:t>
            </w:r>
          </w:p>
        </w:tc>
        <w:tc>
          <w:tcPr>
            <w:tcW w:w="1890" w:type="dxa"/>
            <w:tcBorders>
              <w:top w:val="nil"/>
              <w:left w:val="nil"/>
              <w:bottom w:val="single" w:sz="8" w:space="0" w:color="auto"/>
              <w:right w:val="single" w:sz="8" w:space="0" w:color="auto"/>
            </w:tcBorders>
            <w:tcMar>
              <w:top w:w="0" w:type="dxa"/>
              <w:left w:w="108" w:type="dxa"/>
              <w:bottom w:w="0" w:type="dxa"/>
              <w:right w:w="108" w:type="dxa"/>
            </w:tcMar>
            <w:hideMark/>
          </w:tcPr>
          <w:p w:rsidR="009620F3" w:rsidRPr="009620F3" w:rsidRDefault="009620F3">
            <w:pPr>
              <w:rPr>
                <w:rFonts w:ascii="Calibri" w:eastAsiaTheme="minorHAnsi" w:hAnsi="Calibri"/>
                <w:szCs w:val="22"/>
              </w:rPr>
            </w:pPr>
            <w:r w:rsidRPr="009620F3">
              <w:t>January 14, 2014</w:t>
            </w:r>
          </w:p>
        </w:tc>
        <w:tc>
          <w:tcPr>
            <w:tcW w:w="4410" w:type="dxa"/>
            <w:tcBorders>
              <w:top w:val="nil"/>
              <w:left w:val="nil"/>
              <w:bottom w:val="single" w:sz="8" w:space="0" w:color="auto"/>
              <w:right w:val="single" w:sz="8" w:space="0" w:color="auto"/>
            </w:tcBorders>
            <w:tcMar>
              <w:top w:w="0" w:type="dxa"/>
              <w:left w:w="108" w:type="dxa"/>
              <w:bottom w:w="0" w:type="dxa"/>
              <w:right w:w="108" w:type="dxa"/>
            </w:tcMar>
            <w:hideMark/>
          </w:tcPr>
          <w:p w:rsidR="009620F3" w:rsidRPr="009620F3" w:rsidRDefault="009620F3">
            <w:pPr>
              <w:rPr>
                <w:rFonts w:ascii="Calibri" w:eastAsiaTheme="minorHAnsi" w:hAnsi="Calibri"/>
                <w:szCs w:val="22"/>
              </w:rPr>
            </w:pPr>
            <w:r w:rsidRPr="009620F3">
              <w:t>Done.  Guilty plea on June 2, 2014; sentenced to $15,000.00 fine payable by December 19, 2014; media releases completed.  Fine paid but not yet r</w:t>
            </w:r>
            <w:r>
              <w:t>eceived from NU Court Services.</w:t>
            </w:r>
          </w:p>
        </w:tc>
      </w:tr>
      <w:tr w:rsidR="009620F3" w:rsidTr="009620F3">
        <w:tc>
          <w:tcPr>
            <w:tcW w:w="25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620F3" w:rsidRPr="009620F3" w:rsidRDefault="009620F3">
            <w:pPr>
              <w:rPr>
                <w:rFonts w:ascii="Calibri" w:eastAsiaTheme="minorHAnsi" w:hAnsi="Calibri"/>
                <w:szCs w:val="22"/>
              </w:rPr>
            </w:pPr>
            <w:r w:rsidRPr="009620F3">
              <w:t>Dennis Tung (YK Construction)</w:t>
            </w:r>
          </w:p>
          <w:p w:rsidR="009620F3" w:rsidRPr="009620F3" w:rsidRDefault="009620F3">
            <w:pPr>
              <w:rPr>
                <w:rFonts w:ascii="Calibri" w:eastAsiaTheme="minorHAnsi" w:hAnsi="Calibri"/>
                <w:szCs w:val="22"/>
              </w:rPr>
            </w:pPr>
            <w:r w:rsidRPr="009620F3">
              <w:t xml:space="preserve">(Prosecutor: </w:t>
            </w:r>
            <w:r>
              <w:br/>
            </w:r>
            <w:r w:rsidRPr="009620F3">
              <w:t>Roger Sheppard)</w:t>
            </w:r>
          </w:p>
        </w:tc>
        <w:tc>
          <w:tcPr>
            <w:tcW w:w="1890" w:type="dxa"/>
            <w:tcBorders>
              <w:top w:val="nil"/>
              <w:left w:val="nil"/>
              <w:bottom w:val="single" w:sz="8" w:space="0" w:color="auto"/>
              <w:right w:val="single" w:sz="8" w:space="0" w:color="auto"/>
            </w:tcBorders>
            <w:tcMar>
              <w:top w:w="0" w:type="dxa"/>
              <w:left w:w="108" w:type="dxa"/>
              <w:bottom w:w="0" w:type="dxa"/>
              <w:right w:w="108" w:type="dxa"/>
            </w:tcMar>
            <w:hideMark/>
          </w:tcPr>
          <w:p w:rsidR="009620F3" w:rsidRPr="009620F3" w:rsidRDefault="009620F3">
            <w:pPr>
              <w:rPr>
                <w:rFonts w:ascii="Calibri" w:eastAsiaTheme="minorHAnsi" w:hAnsi="Calibri"/>
                <w:szCs w:val="22"/>
              </w:rPr>
            </w:pPr>
            <w:r w:rsidRPr="009620F3">
              <w:t>August 1, 2013</w:t>
            </w:r>
          </w:p>
        </w:tc>
        <w:tc>
          <w:tcPr>
            <w:tcW w:w="4410" w:type="dxa"/>
            <w:tcBorders>
              <w:top w:val="nil"/>
              <w:left w:val="nil"/>
              <w:bottom w:val="single" w:sz="8" w:space="0" w:color="auto"/>
              <w:right w:val="single" w:sz="8" w:space="0" w:color="auto"/>
            </w:tcBorders>
            <w:tcMar>
              <w:top w:w="0" w:type="dxa"/>
              <w:left w:w="108" w:type="dxa"/>
              <w:bottom w:w="0" w:type="dxa"/>
              <w:right w:w="108" w:type="dxa"/>
            </w:tcMar>
            <w:hideMark/>
          </w:tcPr>
          <w:p w:rsidR="009620F3" w:rsidRPr="009620F3" w:rsidRDefault="009620F3" w:rsidP="009620F3">
            <w:pPr>
              <w:rPr>
                <w:rFonts w:ascii="Calibri" w:eastAsiaTheme="minorHAnsi" w:hAnsi="Calibri"/>
                <w:szCs w:val="22"/>
              </w:rPr>
            </w:pPr>
            <w:r w:rsidRPr="009620F3">
              <w:t>Guilty plea entered sentenced on May 30 to a $15,000 fine and 7 month</w:t>
            </w:r>
            <w:r>
              <w:t xml:space="preserve"> </w:t>
            </w:r>
            <w:r w:rsidRPr="009620F3">
              <w:t xml:space="preserve">probation.  </w:t>
            </w:r>
            <w:r>
              <w:br/>
            </w:r>
            <w:r w:rsidRPr="009620F3">
              <w:t>Fine has been paid.</w:t>
            </w:r>
          </w:p>
        </w:tc>
      </w:tr>
    </w:tbl>
    <w:p w:rsidR="009620F3" w:rsidRDefault="009620F3" w:rsidP="009620F3">
      <w:pPr>
        <w:rPr>
          <w:rFonts w:ascii="Arial" w:eastAsiaTheme="minorHAnsi" w:hAnsi="Arial"/>
          <w:szCs w:val="22"/>
        </w:rPr>
      </w:pPr>
    </w:p>
    <w:p w:rsidR="00D7529D" w:rsidRDefault="00D7529D" w:rsidP="004A4005">
      <w:pPr>
        <w:rPr>
          <w:szCs w:val="22"/>
        </w:rPr>
      </w:pPr>
    </w:p>
    <w:p w:rsidR="00D7529D" w:rsidRPr="009620F3" w:rsidRDefault="009620F3" w:rsidP="00D7529D">
      <w:pPr>
        <w:ind w:left="360"/>
        <w:rPr>
          <w:b/>
        </w:rPr>
      </w:pPr>
      <w:r w:rsidRPr="009620F3">
        <w:rPr>
          <w:rFonts w:eastAsiaTheme="minorHAnsi" w:cs="MyriadPro-Regular"/>
          <w:b/>
          <w:color w:val="333333"/>
          <w:szCs w:val="22"/>
          <w:lang w:val="en-US"/>
        </w:rPr>
        <w:t>Court cases t</w:t>
      </w:r>
      <w:r w:rsidR="00D7529D" w:rsidRPr="009620F3">
        <w:rPr>
          <w:b/>
        </w:rPr>
        <w:t>o be concluded in 2015:</w:t>
      </w:r>
    </w:p>
    <w:p w:rsidR="00D7529D" w:rsidRPr="00D7529D" w:rsidRDefault="00D7529D" w:rsidP="00D7529D">
      <w:pPr>
        <w:rPr>
          <w:sz w:val="20"/>
        </w:rPr>
      </w:pPr>
    </w:p>
    <w:tbl>
      <w:tblPr>
        <w:tblW w:w="0" w:type="auto"/>
        <w:tblInd w:w="468" w:type="dxa"/>
        <w:tblCellMar>
          <w:left w:w="0" w:type="dxa"/>
          <w:right w:w="0" w:type="dxa"/>
        </w:tblCellMar>
        <w:tblLook w:val="04A0" w:firstRow="1" w:lastRow="0" w:firstColumn="1" w:lastColumn="0" w:noHBand="0" w:noVBand="1"/>
      </w:tblPr>
      <w:tblGrid>
        <w:gridCol w:w="2520"/>
        <w:gridCol w:w="1890"/>
        <w:gridCol w:w="4410"/>
      </w:tblGrid>
      <w:tr w:rsidR="00D7529D" w:rsidRPr="00D7529D" w:rsidTr="009620F3">
        <w:tc>
          <w:tcPr>
            <w:tcW w:w="25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7529D" w:rsidRPr="00D7529D" w:rsidRDefault="00D7529D">
            <w:pPr>
              <w:rPr>
                <w:rFonts w:eastAsiaTheme="minorHAnsi"/>
                <w:sz w:val="20"/>
                <w:szCs w:val="22"/>
              </w:rPr>
            </w:pPr>
            <w:r w:rsidRPr="00D7529D">
              <w:rPr>
                <w:sz w:val="20"/>
              </w:rPr>
              <w:t>Rowe’s Construction</w:t>
            </w:r>
          </w:p>
          <w:p w:rsidR="00D7529D" w:rsidRPr="00D7529D" w:rsidRDefault="00D7529D">
            <w:pPr>
              <w:rPr>
                <w:sz w:val="20"/>
              </w:rPr>
            </w:pPr>
            <w:r w:rsidRPr="00D7529D">
              <w:rPr>
                <w:sz w:val="20"/>
              </w:rPr>
              <w:t>(Prosecutor: Roger Shepard)</w:t>
            </w:r>
          </w:p>
          <w:p w:rsidR="00D7529D" w:rsidRPr="00D7529D" w:rsidRDefault="00D7529D">
            <w:pPr>
              <w:rPr>
                <w:rFonts w:eastAsiaTheme="minorHAnsi"/>
                <w:sz w:val="20"/>
                <w:szCs w:val="22"/>
              </w:rPr>
            </w:pPr>
          </w:p>
        </w:tc>
        <w:tc>
          <w:tcPr>
            <w:tcW w:w="18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7529D" w:rsidRPr="00D7529D" w:rsidRDefault="00D7529D">
            <w:pPr>
              <w:rPr>
                <w:rFonts w:eastAsiaTheme="minorHAnsi"/>
                <w:sz w:val="20"/>
                <w:szCs w:val="22"/>
              </w:rPr>
            </w:pPr>
            <w:r w:rsidRPr="00D7529D">
              <w:rPr>
                <w:sz w:val="20"/>
              </w:rPr>
              <w:t>February 13, 2014</w:t>
            </w:r>
          </w:p>
        </w:tc>
        <w:tc>
          <w:tcPr>
            <w:tcW w:w="44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7529D" w:rsidRPr="00D7529D" w:rsidRDefault="00D7529D">
            <w:pPr>
              <w:rPr>
                <w:rFonts w:eastAsiaTheme="minorHAnsi"/>
                <w:sz w:val="20"/>
                <w:szCs w:val="22"/>
              </w:rPr>
            </w:pPr>
            <w:r w:rsidRPr="00D7529D">
              <w:rPr>
                <w:sz w:val="20"/>
              </w:rPr>
              <w:t>Guilty plea and sentence - April 2, 2015 - 6 months to pay</w:t>
            </w:r>
          </w:p>
        </w:tc>
      </w:tr>
      <w:tr w:rsidR="00D7529D" w:rsidRPr="00D7529D" w:rsidTr="009620F3">
        <w:tc>
          <w:tcPr>
            <w:tcW w:w="25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7529D" w:rsidRPr="00D7529D" w:rsidRDefault="00D7529D">
            <w:pPr>
              <w:rPr>
                <w:rFonts w:eastAsiaTheme="minorHAnsi"/>
                <w:sz w:val="20"/>
                <w:szCs w:val="22"/>
              </w:rPr>
            </w:pPr>
            <w:r w:rsidRPr="00D7529D">
              <w:rPr>
                <w:sz w:val="20"/>
              </w:rPr>
              <w:t xml:space="preserve">Bill </w:t>
            </w:r>
            <w:proofErr w:type="spellStart"/>
            <w:r w:rsidRPr="00D7529D">
              <w:rPr>
                <w:sz w:val="20"/>
              </w:rPr>
              <w:t>Prodromidis</w:t>
            </w:r>
            <w:proofErr w:type="spellEnd"/>
            <w:r w:rsidRPr="00D7529D">
              <w:rPr>
                <w:sz w:val="20"/>
              </w:rPr>
              <w:t xml:space="preserve"> – obstruction of safety officer.</w:t>
            </w:r>
          </w:p>
          <w:p w:rsidR="00D7529D" w:rsidRPr="00D7529D" w:rsidRDefault="00D7529D">
            <w:pPr>
              <w:rPr>
                <w:rFonts w:eastAsiaTheme="minorHAnsi"/>
                <w:sz w:val="20"/>
                <w:szCs w:val="22"/>
              </w:rPr>
            </w:pPr>
            <w:r w:rsidRPr="00D7529D">
              <w:rPr>
                <w:sz w:val="20"/>
              </w:rPr>
              <w:t>(Prosecutor: John Cliffe)</w:t>
            </w:r>
          </w:p>
        </w:tc>
        <w:tc>
          <w:tcPr>
            <w:tcW w:w="1890" w:type="dxa"/>
            <w:tcBorders>
              <w:top w:val="nil"/>
              <w:left w:val="nil"/>
              <w:bottom w:val="single" w:sz="8" w:space="0" w:color="auto"/>
              <w:right w:val="single" w:sz="8" w:space="0" w:color="auto"/>
            </w:tcBorders>
            <w:tcMar>
              <w:top w:w="0" w:type="dxa"/>
              <w:left w:w="108" w:type="dxa"/>
              <w:bottom w:w="0" w:type="dxa"/>
              <w:right w:w="108" w:type="dxa"/>
            </w:tcMar>
          </w:tcPr>
          <w:p w:rsidR="00D7529D" w:rsidRPr="00D7529D" w:rsidRDefault="00D7529D">
            <w:pPr>
              <w:rPr>
                <w:rFonts w:eastAsiaTheme="minorHAnsi"/>
                <w:sz w:val="20"/>
                <w:szCs w:val="22"/>
              </w:rPr>
            </w:pPr>
          </w:p>
        </w:tc>
        <w:tc>
          <w:tcPr>
            <w:tcW w:w="4410" w:type="dxa"/>
            <w:tcBorders>
              <w:top w:val="nil"/>
              <w:left w:val="nil"/>
              <w:bottom w:val="single" w:sz="8" w:space="0" w:color="auto"/>
              <w:right w:val="single" w:sz="8" w:space="0" w:color="auto"/>
            </w:tcBorders>
            <w:tcMar>
              <w:top w:w="0" w:type="dxa"/>
              <w:left w:w="108" w:type="dxa"/>
              <w:bottom w:w="0" w:type="dxa"/>
              <w:right w:w="108" w:type="dxa"/>
            </w:tcMar>
            <w:hideMark/>
          </w:tcPr>
          <w:p w:rsidR="00D7529D" w:rsidRPr="00D7529D" w:rsidRDefault="00D7529D">
            <w:pPr>
              <w:rPr>
                <w:rFonts w:eastAsiaTheme="minorHAnsi"/>
                <w:sz w:val="20"/>
                <w:szCs w:val="22"/>
              </w:rPr>
            </w:pPr>
            <w:r w:rsidRPr="00D7529D">
              <w:rPr>
                <w:sz w:val="20"/>
              </w:rPr>
              <w:t>Trial date re-scheduled for April 8, 9, &amp; 10, 2015 in Inuvik.</w:t>
            </w:r>
          </w:p>
        </w:tc>
      </w:tr>
      <w:tr w:rsidR="00D7529D" w:rsidRPr="00D7529D" w:rsidTr="009620F3">
        <w:tc>
          <w:tcPr>
            <w:tcW w:w="25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7529D" w:rsidRPr="00D7529D" w:rsidRDefault="00D7529D">
            <w:pPr>
              <w:rPr>
                <w:rFonts w:eastAsiaTheme="minorHAnsi"/>
                <w:sz w:val="20"/>
                <w:szCs w:val="22"/>
              </w:rPr>
            </w:pPr>
            <w:r w:rsidRPr="00D7529D">
              <w:rPr>
                <w:sz w:val="20"/>
              </w:rPr>
              <w:t xml:space="preserve">GNWT, </w:t>
            </w:r>
            <w:proofErr w:type="spellStart"/>
            <w:r w:rsidRPr="00D7529D">
              <w:rPr>
                <w:sz w:val="20"/>
              </w:rPr>
              <w:t>Kalnay</w:t>
            </w:r>
            <w:proofErr w:type="spellEnd"/>
          </w:p>
          <w:p w:rsidR="00D7529D" w:rsidRPr="00D7529D" w:rsidRDefault="00D7529D">
            <w:pPr>
              <w:rPr>
                <w:rFonts w:eastAsiaTheme="minorHAnsi"/>
                <w:sz w:val="20"/>
                <w:szCs w:val="22"/>
              </w:rPr>
            </w:pPr>
            <w:r w:rsidRPr="00D7529D">
              <w:rPr>
                <w:sz w:val="20"/>
              </w:rPr>
              <w:t>(Prosecutor: John Cliffe)</w:t>
            </w:r>
          </w:p>
        </w:tc>
        <w:tc>
          <w:tcPr>
            <w:tcW w:w="1890" w:type="dxa"/>
            <w:tcBorders>
              <w:top w:val="nil"/>
              <w:left w:val="nil"/>
              <w:bottom w:val="single" w:sz="8" w:space="0" w:color="auto"/>
              <w:right w:val="single" w:sz="8" w:space="0" w:color="auto"/>
            </w:tcBorders>
            <w:tcMar>
              <w:top w:w="0" w:type="dxa"/>
              <w:left w:w="108" w:type="dxa"/>
              <w:bottom w:w="0" w:type="dxa"/>
              <w:right w:w="108" w:type="dxa"/>
            </w:tcMar>
            <w:hideMark/>
          </w:tcPr>
          <w:p w:rsidR="00D7529D" w:rsidRPr="00D7529D" w:rsidRDefault="00D7529D">
            <w:pPr>
              <w:rPr>
                <w:rFonts w:eastAsiaTheme="minorHAnsi"/>
                <w:sz w:val="20"/>
                <w:szCs w:val="22"/>
              </w:rPr>
            </w:pPr>
            <w:r w:rsidRPr="00D7529D">
              <w:rPr>
                <w:sz w:val="20"/>
              </w:rPr>
              <w:t>October 10, 2013</w:t>
            </w:r>
          </w:p>
        </w:tc>
        <w:tc>
          <w:tcPr>
            <w:tcW w:w="4410" w:type="dxa"/>
            <w:tcBorders>
              <w:top w:val="nil"/>
              <w:left w:val="nil"/>
              <w:bottom w:val="single" w:sz="8" w:space="0" w:color="auto"/>
              <w:right w:val="single" w:sz="8" w:space="0" w:color="auto"/>
            </w:tcBorders>
            <w:tcMar>
              <w:top w:w="0" w:type="dxa"/>
              <w:left w:w="108" w:type="dxa"/>
              <w:bottom w:w="0" w:type="dxa"/>
              <w:right w:w="108" w:type="dxa"/>
            </w:tcMar>
            <w:hideMark/>
          </w:tcPr>
          <w:p w:rsidR="00D7529D" w:rsidRPr="00D7529D" w:rsidRDefault="00D7529D">
            <w:pPr>
              <w:rPr>
                <w:rFonts w:eastAsiaTheme="minorHAnsi"/>
                <w:sz w:val="20"/>
                <w:szCs w:val="22"/>
              </w:rPr>
            </w:pPr>
            <w:r w:rsidRPr="00D7529D">
              <w:rPr>
                <w:sz w:val="20"/>
              </w:rPr>
              <w:t>Set for guilty plea and sentencing, April 22, 2015</w:t>
            </w:r>
          </w:p>
        </w:tc>
      </w:tr>
      <w:tr w:rsidR="00D7529D" w:rsidRPr="00D7529D" w:rsidTr="009620F3">
        <w:tc>
          <w:tcPr>
            <w:tcW w:w="252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7529D" w:rsidRPr="00D7529D" w:rsidRDefault="00D7529D">
            <w:pPr>
              <w:rPr>
                <w:rFonts w:eastAsiaTheme="minorHAnsi"/>
                <w:sz w:val="20"/>
                <w:szCs w:val="22"/>
              </w:rPr>
            </w:pPr>
            <w:r w:rsidRPr="00D7529D">
              <w:rPr>
                <w:sz w:val="20"/>
              </w:rPr>
              <w:t>NTPC – power line</w:t>
            </w:r>
          </w:p>
          <w:p w:rsidR="00D7529D" w:rsidRPr="00D7529D" w:rsidRDefault="00D7529D">
            <w:pPr>
              <w:rPr>
                <w:sz w:val="20"/>
              </w:rPr>
            </w:pPr>
            <w:r w:rsidRPr="00D7529D">
              <w:rPr>
                <w:sz w:val="20"/>
              </w:rPr>
              <w:t>(Prosecutor: John Cliffe)</w:t>
            </w:r>
          </w:p>
          <w:p w:rsidR="00D7529D" w:rsidRPr="00D7529D" w:rsidRDefault="00D7529D">
            <w:pPr>
              <w:rPr>
                <w:rFonts w:eastAsiaTheme="minorHAnsi"/>
                <w:sz w:val="20"/>
                <w:szCs w:val="22"/>
              </w:rPr>
            </w:pPr>
          </w:p>
        </w:tc>
        <w:tc>
          <w:tcPr>
            <w:tcW w:w="1890" w:type="dxa"/>
            <w:tcBorders>
              <w:top w:val="nil"/>
              <w:left w:val="nil"/>
              <w:bottom w:val="single" w:sz="8" w:space="0" w:color="auto"/>
              <w:right w:val="single" w:sz="8" w:space="0" w:color="auto"/>
            </w:tcBorders>
            <w:tcMar>
              <w:top w:w="0" w:type="dxa"/>
              <w:left w:w="108" w:type="dxa"/>
              <w:bottom w:w="0" w:type="dxa"/>
              <w:right w:w="108" w:type="dxa"/>
            </w:tcMar>
            <w:hideMark/>
          </w:tcPr>
          <w:p w:rsidR="00D7529D" w:rsidRPr="00D7529D" w:rsidRDefault="00D7529D">
            <w:pPr>
              <w:rPr>
                <w:rFonts w:eastAsiaTheme="minorHAnsi"/>
                <w:sz w:val="20"/>
                <w:szCs w:val="22"/>
              </w:rPr>
            </w:pPr>
            <w:r w:rsidRPr="00D7529D">
              <w:rPr>
                <w:sz w:val="20"/>
              </w:rPr>
              <w:t>February 20, 2014</w:t>
            </w:r>
          </w:p>
        </w:tc>
        <w:tc>
          <w:tcPr>
            <w:tcW w:w="4410" w:type="dxa"/>
            <w:tcBorders>
              <w:top w:val="nil"/>
              <w:left w:val="nil"/>
              <w:bottom w:val="single" w:sz="8" w:space="0" w:color="auto"/>
              <w:right w:val="single" w:sz="8" w:space="0" w:color="auto"/>
            </w:tcBorders>
            <w:tcMar>
              <w:top w:w="0" w:type="dxa"/>
              <w:left w:w="108" w:type="dxa"/>
              <w:bottom w:w="0" w:type="dxa"/>
              <w:right w:w="108" w:type="dxa"/>
            </w:tcMar>
            <w:hideMark/>
          </w:tcPr>
          <w:p w:rsidR="00D7529D" w:rsidRPr="00D7529D" w:rsidRDefault="00D7529D">
            <w:pPr>
              <w:rPr>
                <w:rFonts w:eastAsiaTheme="minorHAnsi"/>
                <w:sz w:val="20"/>
                <w:szCs w:val="22"/>
              </w:rPr>
            </w:pPr>
            <w:r w:rsidRPr="00D7529D">
              <w:rPr>
                <w:sz w:val="20"/>
              </w:rPr>
              <w:t>Set for trial:  September 21</w:t>
            </w:r>
            <w:r w:rsidRPr="00D7529D">
              <w:rPr>
                <w:b/>
                <w:bCs/>
                <w:sz w:val="20"/>
              </w:rPr>
              <w:t xml:space="preserve">, </w:t>
            </w:r>
            <w:r w:rsidRPr="00D7529D">
              <w:rPr>
                <w:sz w:val="20"/>
              </w:rPr>
              <w:t>2015 continuing until and including September 25, 2015.  Next pre-trial conference scheduled for July 6, 2015 at 8 am.</w:t>
            </w:r>
          </w:p>
        </w:tc>
      </w:tr>
    </w:tbl>
    <w:p w:rsidR="00D7529D" w:rsidRPr="00D7529D" w:rsidRDefault="00D7529D" w:rsidP="00D7529D">
      <w:pPr>
        <w:rPr>
          <w:rFonts w:eastAsiaTheme="minorHAnsi"/>
          <w:sz w:val="20"/>
          <w:szCs w:val="22"/>
        </w:rPr>
      </w:pPr>
    </w:p>
    <w:p w:rsidR="00AD7704" w:rsidRDefault="00AD7704">
      <w:pPr>
        <w:tabs>
          <w:tab w:val="clear" w:pos="360"/>
        </w:tabs>
        <w:autoSpaceDE/>
        <w:autoSpaceDN/>
        <w:spacing w:after="200" w:line="276" w:lineRule="auto"/>
        <w:rPr>
          <w:sz w:val="20"/>
          <w:szCs w:val="22"/>
        </w:rPr>
      </w:pPr>
      <w:r>
        <w:rPr>
          <w:sz w:val="20"/>
          <w:szCs w:val="22"/>
        </w:rPr>
        <w:br w:type="page"/>
      </w:r>
    </w:p>
    <w:p w:rsidR="00151580" w:rsidRPr="00910BF8" w:rsidRDefault="00151580" w:rsidP="00A745CC">
      <w:pPr>
        <w:pStyle w:val="ListParagraph"/>
        <w:numPr>
          <w:ilvl w:val="0"/>
          <w:numId w:val="19"/>
        </w:numPr>
        <w:rPr>
          <w:sz w:val="20"/>
          <w:szCs w:val="22"/>
        </w:rPr>
      </w:pPr>
      <w:r w:rsidRPr="00910BF8">
        <w:rPr>
          <w:b/>
          <w:bCs/>
          <w:sz w:val="20"/>
          <w:szCs w:val="22"/>
        </w:rPr>
        <w:lastRenderedPageBreak/>
        <w:t>Education/</w:t>
      </w:r>
      <w:proofErr w:type="spellStart"/>
      <w:r w:rsidRPr="00910BF8">
        <w:rPr>
          <w:b/>
          <w:bCs/>
          <w:sz w:val="20"/>
          <w:szCs w:val="22"/>
        </w:rPr>
        <w:t>Éducation</w:t>
      </w:r>
      <w:proofErr w:type="spellEnd"/>
      <w:r w:rsidRPr="00910BF8">
        <w:rPr>
          <w:b/>
          <w:bCs/>
          <w:sz w:val="20"/>
          <w:szCs w:val="22"/>
        </w:rPr>
        <w:t>:</w:t>
      </w:r>
    </w:p>
    <w:p w:rsidR="00151580" w:rsidRPr="00910BF8" w:rsidRDefault="00151580" w:rsidP="00151580">
      <w:pPr>
        <w:tabs>
          <w:tab w:val="left" w:pos="720"/>
        </w:tabs>
        <w:ind w:left="720"/>
        <w:rPr>
          <w:sz w:val="20"/>
          <w:szCs w:val="22"/>
        </w:rPr>
      </w:pPr>
    </w:p>
    <w:p w:rsidR="00C444B0" w:rsidRPr="00910BF8" w:rsidRDefault="00070702" w:rsidP="00C444B0">
      <w:pPr>
        <w:pStyle w:val="ListParagraph"/>
        <w:numPr>
          <w:ilvl w:val="0"/>
          <w:numId w:val="20"/>
        </w:numPr>
        <w:tabs>
          <w:tab w:val="left" w:pos="720"/>
        </w:tabs>
        <w:rPr>
          <w:sz w:val="20"/>
          <w:szCs w:val="22"/>
        </w:rPr>
      </w:pPr>
      <w:r w:rsidRPr="00910BF8">
        <w:rPr>
          <w:sz w:val="20"/>
          <w:szCs w:val="22"/>
        </w:rPr>
        <w:t>T</w:t>
      </w:r>
      <w:r w:rsidR="00C444B0" w:rsidRPr="00910BF8">
        <w:rPr>
          <w:sz w:val="20"/>
          <w:szCs w:val="22"/>
        </w:rPr>
        <w:t xml:space="preserve">he WSCC </w:t>
      </w:r>
      <w:r w:rsidRPr="00910BF8">
        <w:rPr>
          <w:sz w:val="20"/>
          <w:szCs w:val="22"/>
        </w:rPr>
        <w:t xml:space="preserve">Corporate Strategic direction </w:t>
      </w:r>
      <w:r w:rsidR="00C444B0" w:rsidRPr="00910BF8">
        <w:rPr>
          <w:sz w:val="20"/>
          <w:szCs w:val="22"/>
        </w:rPr>
        <w:t>included divest</w:t>
      </w:r>
      <w:r w:rsidRPr="00910BF8">
        <w:rPr>
          <w:sz w:val="20"/>
          <w:szCs w:val="22"/>
        </w:rPr>
        <w:t>ing</w:t>
      </w:r>
      <w:r w:rsidR="00C444B0" w:rsidRPr="00910BF8">
        <w:rPr>
          <w:sz w:val="20"/>
          <w:szCs w:val="22"/>
        </w:rPr>
        <w:t xml:space="preserve"> of</w:t>
      </w:r>
      <w:r w:rsidRPr="00910BF8">
        <w:rPr>
          <w:sz w:val="20"/>
          <w:szCs w:val="22"/>
        </w:rPr>
        <w:t xml:space="preserve"> offering courses. However, </w:t>
      </w:r>
      <w:r w:rsidR="00C444B0" w:rsidRPr="00910BF8">
        <w:rPr>
          <w:sz w:val="20"/>
          <w:szCs w:val="22"/>
        </w:rPr>
        <w:t>Safety Officers deliver</w:t>
      </w:r>
      <w:r w:rsidRPr="00910BF8">
        <w:rPr>
          <w:sz w:val="20"/>
          <w:szCs w:val="22"/>
        </w:rPr>
        <w:t>ed</w:t>
      </w:r>
      <w:r w:rsidR="00C444B0" w:rsidRPr="00910BF8">
        <w:rPr>
          <w:sz w:val="20"/>
          <w:szCs w:val="22"/>
        </w:rPr>
        <w:t xml:space="preserve"> the Supervisor Safety Course </w:t>
      </w:r>
      <w:r w:rsidRPr="00910BF8">
        <w:rPr>
          <w:sz w:val="20"/>
          <w:szCs w:val="22"/>
        </w:rPr>
        <w:t>until the end of</w:t>
      </w:r>
      <w:r w:rsidR="00C444B0" w:rsidRPr="00910BF8">
        <w:rPr>
          <w:sz w:val="20"/>
          <w:szCs w:val="22"/>
        </w:rPr>
        <w:t xml:space="preserve"> 2014.</w:t>
      </w:r>
      <w:r w:rsidRPr="00910BF8">
        <w:rPr>
          <w:sz w:val="20"/>
          <w:szCs w:val="22"/>
        </w:rPr>
        <w:t xml:space="preserve"> (Over 1,000 supervisors from both territories completed the course as offered from the WSCC</w:t>
      </w:r>
      <w:r w:rsidR="00D7529D">
        <w:rPr>
          <w:sz w:val="20"/>
          <w:szCs w:val="22"/>
        </w:rPr>
        <w:t>.</w:t>
      </w:r>
      <w:r w:rsidRPr="00910BF8">
        <w:rPr>
          <w:sz w:val="20"/>
          <w:szCs w:val="22"/>
        </w:rPr>
        <w:t xml:space="preserve">) </w:t>
      </w:r>
    </w:p>
    <w:p w:rsidR="006502A8" w:rsidRPr="00910BF8" w:rsidRDefault="006502A8" w:rsidP="00C444B0">
      <w:pPr>
        <w:pStyle w:val="ListParagraph"/>
        <w:numPr>
          <w:ilvl w:val="1"/>
          <w:numId w:val="20"/>
        </w:numPr>
        <w:tabs>
          <w:tab w:val="left" w:pos="720"/>
        </w:tabs>
        <w:rPr>
          <w:sz w:val="20"/>
          <w:szCs w:val="22"/>
        </w:rPr>
      </w:pPr>
      <w:r w:rsidRPr="00910BF8">
        <w:rPr>
          <w:sz w:val="20"/>
          <w:szCs w:val="22"/>
        </w:rPr>
        <w:t xml:space="preserve">Focus group </w:t>
      </w:r>
      <w:r w:rsidR="00C5340A" w:rsidRPr="00910BF8">
        <w:rPr>
          <w:sz w:val="20"/>
          <w:szCs w:val="22"/>
        </w:rPr>
        <w:t xml:space="preserve">with educators </w:t>
      </w:r>
      <w:r w:rsidRPr="00910BF8">
        <w:rPr>
          <w:sz w:val="20"/>
          <w:szCs w:val="22"/>
        </w:rPr>
        <w:t xml:space="preserve">on Supervisor Safety </w:t>
      </w:r>
      <w:r w:rsidR="00EB7D32" w:rsidRPr="00910BF8">
        <w:rPr>
          <w:sz w:val="20"/>
          <w:szCs w:val="22"/>
        </w:rPr>
        <w:t>Training</w:t>
      </w:r>
      <w:r w:rsidRPr="00910BF8">
        <w:rPr>
          <w:sz w:val="20"/>
          <w:szCs w:val="22"/>
        </w:rPr>
        <w:t xml:space="preserve"> </w:t>
      </w:r>
    </w:p>
    <w:p w:rsidR="00EB7D32" w:rsidRPr="00910BF8" w:rsidRDefault="00EB7D32" w:rsidP="00C444B0">
      <w:pPr>
        <w:pStyle w:val="ListParagraph"/>
        <w:numPr>
          <w:ilvl w:val="1"/>
          <w:numId w:val="20"/>
        </w:numPr>
        <w:tabs>
          <w:tab w:val="left" w:pos="720"/>
        </w:tabs>
        <w:rPr>
          <w:sz w:val="20"/>
          <w:szCs w:val="22"/>
        </w:rPr>
      </w:pPr>
      <w:r w:rsidRPr="00910BF8">
        <w:rPr>
          <w:sz w:val="20"/>
          <w:szCs w:val="22"/>
        </w:rPr>
        <w:t>WSCC developed plan for partners to d</w:t>
      </w:r>
      <w:r w:rsidR="00070702" w:rsidRPr="00910BF8">
        <w:rPr>
          <w:sz w:val="20"/>
          <w:szCs w:val="22"/>
        </w:rPr>
        <w:t>eliver Supervisor Safety Course</w:t>
      </w:r>
    </w:p>
    <w:p w:rsidR="00EB7D32" w:rsidRPr="00910BF8" w:rsidRDefault="00151580" w:rsidP="00C444B0">
      <w:pPr>
        <w:pStyle w:val="ListParagraph"/>
        <w:numPr>
          <w:ilvl w:val="1"/>
          <w:numId w:val="20"/>
        </w:numPr>
        <w:tabs>
          <w:tab w:val="left" w:pos="720"/>
        </w:tabs>
        <w:rPr>
          <w:sz w:val="20"/>
          <w:szCs w:val="22"/>
        </w:rPr>
      </w:pPr>
      <w:r w:rsidRPr="00910BF8">
        <w:rPr>
          <w:sz w:val="20"/>
          <w:szCs w:val="22"/>
        </w:rPr>
        <w:t xml:space="preserve">Education course </w:t>
      </w:r>
      <w:r w:rsidR="006502A8" w:rsidRPr="00910BF8">
        <w:rPr>
          <w:sz w:val="20"/>
          <w:szCs w:val="22"/>
        </w:rPr>
        <w:t>materials developed for partners to deliver</w:t>
      </w:r>
      <w:r w:rsidR="00EB7D32" w:rsidRPr="00910BF8">
        <w:rPr>
          <w:sz w:val="20"/>
          <w:szCs w:val="22"/>
        </w:rPr>
        <w:t xml:space="preserve"> course</w:t>
      </w:r>
      <w:r w:rsidR="00070702" w:rsidRPr="00910BF8">
        <w:rPr>
          <w:sz w:val="20"/>
          <w:szCs w:val="22"/>
        </w:rPr>
        <w:t xml:space="preserve"> included workbook, lecture materials, and PowerPoint presentation</w:t>
      </w:r>
    </w:p>
    <w:p w:rsidR="00C444B0" w:rsidRPr="00910BF8" w:rsidRDefault="00C444B0" w:rsidP="00EB7D32">
      <w:pPr>
        <w:pStyle w:val="ListParagraph"/>
        <w:numPr>
          <w:ilvl w:val="0"/>
          <w:numId w:val="20"/>
        </w:numPr>
        <w:tabs>
          <w:tab w:val="left" w:pos="720"/>
        </w:tabs>
        <w:rPr>
          <w:sz w:val="20"/>
          <w:szCs w:val="22"/>
        </w:rPr>
      </w:pPr>
      <w:r w:rsidRPr="00910BF8">
        <w:rPr>
          <w:sz w:val="20"/>
          <w:szCs w:val="22"/>
        </w:rPr>
        <w:t>Hazard Alerts</w:t>
      </w:r>
    </w:p>
    <w:p w:rsidR="00C444B0" w:rsidRPr="00910BF8" w:rsidRDefault="00C444B0" w:rsidP="00EB7D32">
      <w:pPr>
        <w:pStyle w:val="ListParagraph"/>
        <w:numPr>
          <w:ilvl w:val="0"/>
          <w:numId w:val="20"/>
        </w:numPr>
        <w:tabs>
          <w:tab w:val="left" w:pos="720"/>
        </w:tabs>
        <w:rPr>
          <w:sz w:val="20"/>
          <w:szCs w:val="22"/>
        </w:rPr>
      </w:pPr>
      <w:r w:rsidRPr="00910BF8">
        <w:rPr>
          <w:sz w:val="20"/>
          <w:szCs w:val="22"/>
        </w:rPr>
        <w:t>Information Bulletins</w:t>
      </w:r>
    </w:p>
    <w:p w:rsidR="00C444B0" w:rsidRPr="00910BF8" w:rsidRDefault="00C444B0" w:rsidP="00EB7D32">
      <w:pPr>
        <w:pStyle w:val="ListParagraph"/>
        <w:numPr>
          <w:ilvl w:val="0"/>
          <w:numId w:val="20"/>
        </w:numPr>
        <w:tabs>
          <w:tab w:val="left" w:pos="720"/>
        </w:tabs>
        <w:rPr>
          <w:sz w:val="20"/>
          <w:szCs w:val="22"/>
        </w:rPr>
      </w:pPr>
      <w:r w:rsidRPr="00910BF8">
        <w:rPr>
          <w:sz w:val="20"/>
          <w:szCs w:val="22"/>
        </w:rPr>
        <w:t>Handbooks and guides for Employers, Homeowners</w:t>
      </w:r>
    </w:p>
    <w:p w:rsidR="00C444B0" w:rsidRPr="00910BF8" w:rsidRDefault="00C444B0" w:rsidP="00EB7D32">
      <w:pPr>
        <w:pStyle w:val="ListParagraph"/>
        <w:numPr>
          <w:ilvl w:val="0"/>
          <w:numId w:val="20"/>
        </w:numPr>
        <w:tabs>
          <w:tab w:val="left" w:pos="720"/>
        </w:tabs>
        <w:rPr>
          <w:sz w:val="20"/>
          <w:szCs w:val="22"/>
        </w:rPr>
      </w:pPr>
      <w:r w:rsidRPr="00910BF8">
        <w:rPr>
          <w:sz w:val="20"/>
          <w:szCs w:val="22"/>
        </w:rPr>
        <w:t>Return to Work handbook in development (published March 2015 online PDF download.)</w:t>
      </w:r>
    </w:p>
    <w:p w:rsidR="004A4005" w:rsidRDefault="004A4005">
      <w:pPr>
        <w:tabs>
          <w:tab w:val="clear" w:pos="360"/>
        </w:tabs>
        <w:autoSpaceDE/>
        <w:autoSpaceDN/>
        <w:spacing w:after="200" w:line="276" w:lineRule="auto"/>
        <w:rPr>
          <w:sz w:val="20"/>
          <w:szCs w:val="22"/>
        </w:rPr>
      </w:pPr>
    </w:p>
    <w:p w:rsidR="00151580" w:rsidRPr="00910BF8" w:rsidRDefault="00151580" w:rsidP="007C6E04">
      <w:pPr>
        <w:pStyle w:val="ListParagraph"/>
        <w:numPr>
          <w:ilvl w:val="0"/>
          <w:numId w:val="19"/>
        </w:numPr>
        <w:rPr>
          <w:sz w:val="20"/>
          <w:szCs w:val="22"/>
        </w:rPr>
      </w:pPr>
      <w:r w:rsidRPr="00910BF8">
        <w:rPr>
          <w:b/>
          <w:bCs/>
          <w:sz w:val="20"/>
          <w:szCs w:val="22"/>
        </w:rPr>
        <w:t>Studies and Research/</w:t>
      </w:r>
      <w:proofErr w:type="spellStart"/>
      <w:r w:rsidRPr="00910BF8">
        <w:rPr>
          <w:b/>
          <w:bCs/>
          <w:sz w:val="20"/>
          <w:szCs w:val="22"/>
        </w:rPr>
        <w:t>Études</w:t>
      </w:r>
      <w:proofErr w:type="spellEnd"/>
      <w:r w:rsidRPr="00910BF8">
        <w:rPr>
          <w:b/>
          <w:bCs/>
          <w:sz w:val="20"/>
          <w:szCs w:val="22"/>
        </w:rPr>
        <w:t xml:space="preserve"> et </w:t>
      </w:r>
      <w:proofErr w:type="spellStart"/>
      <w:r w:rsidRPr="00910BF8">
        <w:rPr>
          <w:b/>
          <w:bCs/>
          <w:sz w:val="20"/>
          <w:szCs w:val="22"/>
        </w:rPr>
        <w:t>recherche</w:t>
      </w:r>
      <w:proofErr w:type="spellEnd"/>
      <w:r w:rsidRPr="00910BF8">
        <w:rPr>
          <w:b/>
          <w:bCs/>
          <w:sz w:val="20"/>
          <w:szCs w:val="22"/>
        </w:rPr>
        <w:t>:</w:t>
      </w:r>
    </w:p>
    <w:p w:rsidR="00151580" w:rsidRPr="00910BF8" w:rsidRDefault="00151580" w:rsidP="00151580">
      <w:pPr>
        <w:pStyle w:val="ListParagraph"/>
        <w:numPr>
          <w:ilvl w:val="0"/>
          <w:numId w:val="22"/>
        </w:numPr>
        <w:rPr>
          <w:sz w:val="20"/>
          <w:szCs w:val="22"/>
        </w:rPr>
      </w:pPr>
      <w:r w:rsidRPr="00910BF8">
        <w:rPr>
          <w:iCs/>
          <w:sz w:val="20"/>
          <w:szCs w:val="22"/>
        </w:rPr>
        <w:t>Research for Codes of Practi</w:t>
      </w:r>
      <w:r w:rsidR="00F71EF0" w:rsidRPr="00910BF8">
        <w:rPr>
          <w:iCs/>
          <w:sz w:val="20"/>
          <w:szCs w:val="22"/>
        </w:rPr>
        <w:t>ce</w:t>
      </w:r>
      <w:r w:rsidRPr="00910BF8">
        <w:rPr>
          <w:iCs/>
          <w:sz w:val="20"/>
          <w:szCs w:val="22"/>
        </w:rPr>
        <w:t>.</w:t>
      </w:r>
    </w:p>
    <w:p w:rsidR="00F71EF0" w:rsidRPr="00910BF8" w:rsidRDefault="00F71EF0" w:rsidP="00F71EF0">
      <w:pPr>
        <w:pStyle w:val="ListParagraph"/>
        <w:numPr>
          <w:ilvl w:val="1"/>
          <w:numId w:val="22"/>
        </w:numPr>
        <w:rPr>
          <w:sz w:val="20"/>
          <w:szCs w:val="22"/>
        </w:rPr>
      </w:pPr>
      <w:r w:rsidRPr="00910BF8">
        <w:rPr>
          <w:iCs/>
          <w:sz w:val="20"/>
          <w:szCs w:val="22"/>
        </w:rPr>
        <w:t>Jurisdictional scans</w:t>
      </w:r>
    </w:p>
    <w:p w:rsidR="00F71EF0" w:rsidRPr="00910BF8" w:rsidRDefault="00F71EF0" w:rsidP="00F71EF0">
      <w:pPr>
        <w:pStyle w:val="ListParagraph"/>
        <w:numPr>
          <w:ilvl w:val="1"/>
          <w:numId w:val="22"/>
        </w:numPr>
        <w:rPr>
          <w:sz w:val="20"/>
          <w:szCs w:val="22"/>
        </w:rPr>
      </w:pPr>
      <w:r w:rsidRPr="00910BF8">
        <w:rPr>
          <w:iCs/>
          <w:sz w:val="20"/>
          <w:szCs w:val="22"/>
        </w:rPr>
        <w:t>Focus groups</w:t>
      </w:r>
    </w:p>
    <w:p w:rsidR="00151580" w:rsidRPr="00910BF8" w:rsidRDefault="00F71EF0" w:rsidP="00F71EF0">
      <w:pPr>
        <w:pStyle w:val="ListParagraph"/>
        <w:numPr>
          <w:ilvl w:val="1"/>
          <w:numId w:val="22"/>
        </w:numPr>
        <w:rPr>
          <w:sz w:val="20"/>
          <w:szCs w:val="22"/>
        </w:rPr>
      </w:pPr>
      <w:r w:rsidRPr="00910BF8">
        <w:rPr>
          <w:iCs/>
          <w:sz w:val="20"/>
          <w:szCs w:val="22"/>
        </w:rPr>
        <w:t>Stakeholder Engagement Committee</w:t>
      </w:r>
    </w:p>
    <w:p w:rsidR="00151580" w:rsidRPr="00910BF8" w:rsidRDefault="00151580" w:rsidP="00151580">
      <w:pPr>
        <w:tabs>
          <w:tab w:val="left" w:pos="720"/>
        </w:tabs>
        <w:ind w:left="360"/>
        <w:rPr>
          <w:sz w:val="20"/>
          <w:szCs w:val="22"/>
        </w:rPr>
      </w:pPr>
    </w:p>
    <w:p w:rsidR="00151580" w:rsidRPr="00910BF8" w:rsidRDefault="00151580" w:rsidP="00151580">
      <w:pPr>
        <w:numPr>
          <w:ilvl w:val="0"/>
          <w:numId w:val="13"/>
        </w:numPr>
        <w:tabs>
          <w:tab w:val="left" w:pos="720"/>
        </w:tabs>
        <w:rPr>
          <w:b/>
          <w:sz w:val="20"/>
          <w:szCs w:val="22"/>
        </w:rPr>
      </w:pPr>
      <w:r w:rsidRPr="00910BF8">
        <w:rPr>
          <w:b/>
          <w:sz w:val="20"/>
          <w:szCs w:val="22"/>
        </w:rPr>
        <w:t xml:space="preserve">Technological Changes/Modifications </w:t>
      </w:r>
      <w:proofErr w:type="spellStart"/>
      <w:r w:rsidRPr="00E312CD">
        <w:rPr>
          <w:b/>
          <w:sz w:val="20"/>
          <w:szCs w:val="22"/>
        </w:rPr>
        <w:t>technologiques</w:t>
      </w:r>
      <w:proofErr w:type="spellEnd"/>
    </w:p>
    <w:p w:rsidR="00151580" w:rsidRPr="00910BF8" w:rsidRDefault="00151580" w:rsidP="00151580">
      <w:pPr>
        <w:numPr>
          <w:ilvl w:val="0"/>
          <w:numId w:val="14"/>
        </w:numPr>
        <w:rPr>
          <w:sz w:val="20"/>
          <w:szCs w:val="22"/>
        </w:rPr>
      </w:pPr>
      <w:r w:rsidRPr="00910BF8">
        <w:rPr>
          <w:iCs/>
          <w:sz w:val="20"/>
          <w:szCs w:val="22"/>
        </w:rPr>
        <w:t>New format for Safety Inspection Reports</w:t>
      </w:r>
    </w:p>
    <w:p w:rsidR="002416CC" w:rsidRPr="00910BF8" w:rsidRDefault="002416CC" w:rsidP="00151580">
      <w:pPr>
        <w:numPr>
          <w:ilvl w:val="0"/>
          <w:numId w:val="14"/>
        </w:numPr>
        <w:rPr>
          <w:sz w:val="20"/>
          <w:szCs w:val="22"/>
        </w:rPr>
      </w:pPr>
      <w:r w:rsidRPr="00910BF8">
        <w:rPr>
          <w:iCs/>
          <w:sz w:val="20"/>
          <w:szCs w:val="22"/>
        </w:rPr>
        <w:t xml:space="preserve">Dedicated business analyst for each Prevention Services and Employer Services to streamline data management and business intelligence reporting </w:t>
      </w:r>
    </w:p>
    <w:p w:rsidR="00151580" w:rsidRPr="00910BF8" w:rsidRDefault="00151580" w:rsidP="00151580">
      <w:pPr>
        <w:tabs>
          <w:tab w:val="left" w:pos="720"/>
        </w:tabs>
        <w:rPr>
          <w:sz w:val="20"/>
          <w:szCs w:val="22"/>
        </w:rPr>
      </w:pPr>
    </w:p>
    <w:p w:rsidR="00B92B4A" w:rsidRPr="00910BF8" w:rsidRDefault="00B92B4A" w:rsidP="00B92B4A">
      <w:pPr>
        <w:numPr>
          <w:ilvl w:val="0"/>
          <w:numId w:val="15"/>
        </w:numPr>
        <w:tabs>
          <w:tab w:val="left" w:pos="720"/>
        </w:tabs>
        <w:rPr>
          <w:b/>
          <w:sz w:val="20"/>
          <w:szCs w:val="22"/>
          <w:lang w:val="fr-CA"/>
        </w:rPr>
      </w:pPr>
      <w:r w:rsidRPr="00E312CD">
        <w:rPr>
          <w:b/>
          <w:sz w:val="20"/>
          <w:szCs w:val="22"/>
        </w:rPr>
        <w:t>Strategic</w:t>
      </w:r>
      <w:r w:rsidRPr="00910BF8">
        <w:rPr>
          <w:b/>
          <w:sz w:val="20"/>
          <w:szCs w:val="22"/>
          <w:lang w:val="fr-CA"/>
        </w:rPr>
        <w:t xml:space="preserve"> </w:t>
      </w:r>
      <w:r w:rsidRPr="00E312CD">
        <w:rPr>
          <w:b/>
          <w:sz w:val="20"/>
          <w:szCs w:val="22"/>
        </w:rPr>
        <w:t>Priorities</w:t>
      </w:r>
      <w:r w:rsidRPr="00910BF8">
        <w:rPr>
          <w:b/>
          <w:sz w:val="20"/>
          <w:szCs w:val="22"/>
          <w:lang w:val="fr-CA"/>
        </w:rPr>
        <w:t>/Priorités stratégiques</w:t>
      </w:r>
    </w:p>
    <w:p w:rsidR="00B92B4A" w:rsidRPr="00910BF8" w:rsidRDefault="00B92B4A" w:rsidP="00B92B4A">
      <w:pPr>
        <w:tabs>
          <w:tab w:val="clear" w:pos="360"/>
          <w:tab w:val="left" w:pos="720"/>
        </w:tabs>
        <w:ind w:left="360"/>
        <w:rPr>
          <w:sz w:val="20"/>
          <w:szCs w:val="22"/>
          <w:lang w:val="fr-CA"/>
        </w:rPr>
      </w:pPr>
      <w:r w:rsidRPr="00910BF8">
        <w:rPr>
          <w:sz w:val="20"/>
          <w:szCs w:val="22"/>
          <w:lang w:val="fr-CA"/>
        </w:rPr>
        <w:t xml:space="preserve">WSCC </w:t>
      </w:r>
      <w:r w:rsidRPr="00E312CD">
        <w:rPr>
          <w:sz w:val="20"/>
          <w:szCs w:val="22"/>
        </w:rPr>
        <w:t>adopted</w:t>
      </w:r>
      <w:r w:rsidR="00977DFA" w:rsidRPr="00910BF8">
        <w:rPr>
          <w:sz w:val="20"/>
          <w:szCs w:val="22"/>
          <w:lang w:val="fr-CA"/>
        </w:rPr>
        <w:t xml:space="preserve"> </w:t>
      </w:r>
      <w:r w:rsidRPr="00E312CD">
        <w:rPr>
          <w:i/>
          <w:sz w:val="20"/>
          <w:szCs w:val="22"/>
        </w:rPr>
        <w:t>Directed</w:t>
      </w:r>
      <w:r w:rsidR="00977DFA" w:rsidRPr="00910BF8">
        <w:rPr>
          <w:i/>
          <w:sz w:val="20"/>
          <w:szCs w:val="22"/>
          <w:lang w:val="fr-CA"/>
        </w:rPr>
        <w:t xml:space="preserve"> </w:t>
      </w:r>
      <w:r w:rsidRPr="00910BF8">
        <w:rPr>
          <w:i/>
          <w:sz w:val="20"/>
          <w:szCs w:val="22"/>
          <w:lang w:val="fr-CA"/>
        </w:rPr>
        <w:t>Services</w:t>
      </w:r>
      <w:r w:rsidRPr="00910BF8">
        <w:rPr>
          <w:sz w:val="20"/>
          <w:szCs w:val="22"/>
          <w:lang w:val="fr-CA"/>
        </w:rPr>
        <w:t xml:space="preserve"> to focus </w:t>
      </w:r>
      <w:r w:rsidR="00E312CD" w:rsidRPr="00E312CD">
        <w:rPr>
          <w:sz w:val="20"/>
          <w:szCs w:val="22"/>
        </w:rPr>
        <w:t>resources</w:t>
      </w:r>
      <w:r w:rsidRPr="00910BF8">
        <w:rPr>
          <w:sz w:val="20"/>
          <w:szCs w:val="22"/>
          <w:lang w:val="fr-CA"/>
        </w:rPr>
        <w:t xml:space="preserve"> </w:t>
      </w:r>
      <w:r w:rsidRPr="00E312CD">
        <w:rPr>
          <w:sz w:val="20"/>
          <w:szCs w:val="22"/>
        </w:rPr>
        <w:t>through</w:t>
      </w:r>
      <w:r w:rsidRPr="00910BF8">
        <w:rPr>
          <w:sz w:val="20"/>
          <w:szCs w:val="22"/>
          <w:lang w:val="fr-CA"/>
        </w:rPr>
        <w:t xml:space="preserve"> data-</w:t>
      </w:r>
      <w:r w:rsidRPr="00E312CD">
        <w:rPr>
          <w:sz w:val="20"/>
          <w:szCs w:val="22"/>
        </w:rPr>
        <w:t>driven</w:t>
      </w:r>
      <w:r w:rsidRPr="00910BF8">
        <w:rPr>
          <w:sz w:val="20"/>
          <w:szCs w:val="22"/>
          <w:lang w:val="fr-CA"/>
        </w:rPr>
        <w:t xml:space="preserve"> </w:t>
      </w:r>
      <w:r w:rsidRPr="00E312CD">
        <w:rPr>
          <w:sz w:val="20"/>
          <w:szCs w:val="22"/>
        </w:rPr>
        <w:t>decision</w:t>
      </w:r>
      <w:r w:rsidRPr="00910BF8">
        <w:rPr>
          <w:sz w:val="20"/>
          <w:szCs w:val="22"/>
          <w:lang w:val="fr-CA"/>
        </w:rPr>
        <w:t xml:space="preserve"> </w:t>
      </w:r>
      <w:r w:rsidRPr="00E312CD">
        <w:rPr>
          <w:sz w:val="20"/>
          <w:szCs w:val="22"/>
        </w:rPr>
        <w:t>making</w:t>
      </w:r>
      <w:r w:rsidRPr="00910BF8">
        <w:rPr>
          <w:sz w:val="20"/>
          <w:szCs w:val="22"/>
          <w:lang w:val="fr-CA"/>
        </w:rPr>
        <w:t>.</w:t>
      </w:r>
    </w:p>
    <w:p w:rsidR="00B92B4A" w:rsidRPr="00910BF8" w:rsidRDefault="00910BF8" w:rsidP="00B92B4A">
      <w:pPr>
        <w:tabs>
          <w:tab w:val="clear" w:pos="360"/>
          <w:tab w:val="left" w:pos="720"/>
        </w:tabs>
        <w:ind w:left="360"/>
        <w:rPr>
          <w:sz w:val="20"/>
          <w:szCs w:val="22"/>
          <w:lang w:val="fr-CA"/>
        </w:rPr>
      </w:pPr>
      <w:r w:rsidRPr="00E312CD">
        <w:rPr>
          <w:sz w:val="20"/>
          <w:szCs w:val="22"/>
        </w:rPr>
        <w:t>Determine</w:t>
      </w:r>
      <w:r>
        <w:rPr>
          <w:sz w:val="20"/>
          <w:szCs w:val="22"/>
          <w:lang w:val="fr-CA"/>
        </w:rPr>
        <w:t xml:space="preserve"> Inspections </w:t>
      </w:r>
      <w:r w:rsidRPr="00E312CD">
        <w:rPr>
          <w:sz w:val="20"/>
          <w:szCs w:val="22"/>
        </w:rPr>
        <w:t>activity</w:t>
      </w:r>
      <w:r>
        <w:rPr>
          <w:sz w:val="20"/>
          <w:szCs w:val="22"/>
          <w:lang w:val="fr-CA"/>
        </w:rPr>
        <w:t xml:space="preserve"> </w:t>
      </w:r>
      <w:r w:rsidRPr="00E312CD">
        <w:rPr>
          <w:sz w:val="20"/>
          <w:szCs w:val="22"/>
        </w:rPr>
        <w:t>based</w:t>
      </w:r>
      <w:r>
        <w:rPr>
          <w:sz w:val="20"/>
          <w:szCs w:val="22"/>
          <w:lang w:val="fr-CA"/>
        </w:rPr>
        <w:t xml:space="preserve"> on: </w:t>
      </w:r>
      <w:r w:rsidR="00B92B4A" w:rsidRPr="00910BF8">
        <w:rPr>
          <w:sz w:val="20"/>
          <w:szCs w:val="22"/>
          <w:lang w:val="fr-CA"/>
        </w:rPr>
        <w:t>claims distribution</w:t>
      </w:r>
      <w:r w:rsidR="00977DFA" w:rsidRPr="00910BF8">
        <w:rPr>
          <w:sz w:val="20"/>
          <w:szCs w:val="22"/>
          <w:lang w:val="fr-CA"/>
        </w:rPr>
        <w:t xml:space="preserve">; </w:t>
      </w:r>
      <w:r w:rsidR="00B92B4A" w:rsidRPr="00910BF8">
        <w:rPr>
          <w:sz w:val="20"/>
          <w:szCs w:val="22"/>
          <w:lang w:val="fr-CA"/>
        </w:rPr>
        <w:t>time</w:t>
      </w:r>
      <w:r w:rsidR="00977DFA" w:rsidRPr="00910BF8">
        <w:rPr>
          <w:sz w:val="20"/>
          <w:szCs w:val="22"/>
          <w:lang w:val="fr-CA"/>
        </w:rPr>
        <w:t>-</w:t>
      </w:r>
      <w:r w:rsidR="00B92B4A" w:rsidRPr="00E312CD">
        <w:rPr>
          <w:sz w:val="20"/>
          <w:szCs w:val="22"/>
        </w:rPr>
        <w:t>loss above jurisdictional avera</w:t>
      </w:r>
      <w:r w:rsidR="00977DFA" w:rsidRPr="00E312CD">
        <w:rPr>
          <w:sz w:val="20"/>
          <w:szCs w:val="22"/>
        </w:rPr>
        <w:t>ge</w:t>
      </w:r>
      <w:r w:rsidR="00977DFA" w:rsidRPr="00910BF8">
        <w:rPr>
          <w:sz w:val="20"/>
          <w:szCs w:val="22"/>
          <w:lang w:val="fr-CA"/>
        </w:rPr>
        <w:t xml:space="preserve"> in </w:t>
      </w:r>
      <w:r w:rsidR="00977DFA" w:rsidRPr="00E312CD">
        <w:rPr>
          <w:sz w:val="20"/>
          <w:szCs w:val="22"/>
        </w:rPr>
        <w:t>severity</w:t>
      </w:r>
      <w:r w:rsidR="00977DFA" w:rsidRPr="00910BF8">
        <w:rPr>
          <w:sz w:val="20"/>
          <w:szCs w:val="22"/>
          <w:lang w:val="fr-CA"/>
        </w:rPr>
        <w:t xml:space="preserve"> and </w:t>
      </w:r>
      <w:r w:rsidR="00977DFA" w:rsidRPr="00E312CD">
        <w:rPr>
          <w:sz w:val="20"/>
          <w:szCs w:val="22"/>
        </w:rPr>
        <w:t>frequency</w:t>
      </w:r>
      <w:r w:rsidR="00977DFA" w:rsidRPr="00910BF8">
        <w:rPr>
          <w:sz w:val="20"/>
          <w:szCs w:val="22"/>
          <w:lang w:val="fr-CA"/>
        </w:rPr>
        <w:t xml:space="preserve">; </w:t>
      </w:r>
      <w:r w:rsidR="00E312CD" w:rsidRPr="00E312CD">
        <w:rPr>
          <w:sz w:val="20"/>
          <w:szCs w:val="22"/>
        </w:rPr>
        <w:t>investigation’s</w:t>
      </w:r>
      <w:r w:rsidR="00977DFA" w:rsidRPr="00910BF8">
        <w:rPr>
          <w:sz w:val="20"/>
          <w:szCs w:val="22"/>
          <w:lang w:val="fr-CA"/>
        </w:rPr>
        <w:t xml:space="preserve"> and </w:t>
      </w:r>
      <w:r w:rsidR="00977DFA" w:rsidRPr="00E312CD">
        <w:rPr>
          <w:sz w:val="20"/>
          <w:szCs w:val="22"/>
        </w:rPr>
        <w:t>orde</w:t>
      </w:r>
      <w:r w:rsidRPr="00E312CD">
        <w:rPr>
          <w:sz w:val="20"/>
          <w:szCs w:val="22"/>
        </w:rPr>
        <w:t>r history</w:t>
      </w:r>
      <w:r w:rsidR="00862A71">
        <w:rPr>
          <w:sz w:val="20"/>
          <w:szCs w:val="22"/>
          <w:lang w:val="fr-CA"/>
        </w:rPr>
        <w:t>;</w:t>
      </w:r>
      <w:r>
        <w:rPr>
          <w:sz w:val="20"/>
          <w:szCs w:val="22"/>
          <w:lang w:val="fr-CA"/>
        </w:rPr>
        <w:t xml:space="preserve"> and employer </w:t>
      </w:r>
      <w:r w:rsidRPr="00E312CD">
        <w:rPr>
          <w:sz w:val="20"/>
          <w:szCs w:val="22"/>
        </w:rPr>
        <w:t>activity</w:t>
      </w:r>
      <w:r w:rsidR="00CD23DA">
        <w:rPr>
          <w:sz w:val="20"/>
          <w:szCs w:val="22"/>
          <w:lang w:val="fr-CA"/>
        </w:rPr>
        <w:t>.</w:t>
      </w:r>
    </w:p>
    <w:p w:rsidR="00977DFA" w:rsidRPr="00910BF8" w:rsidRDefault="00977DFA" w:rsidP="00B92B4A">
      <w:pPr>
        <w:tabs>
          <w:tab w:val="clear" w:pos="360"/>
          <w:tab w:val="left" w:pos="720"/>
        </w:tabs>
        <w:ind w:left="360"/>
        <w:rPr>
          <w:sz w:val="20"/>
          <w:szCs w:val="22"/>
          <w:lang w:val="fr-CA"/>
        </w:rPr>
      </w:pPr>
    </w:p>
    <w:p w:rsidR="00B92B4A" w:rsidRPr="00910BF8" w:rsidRDefault="00B92B4A" w:rsidP="00B92B4A">
      <w:pPr>
        <w:tabs>
          <w:tab w:val="clear" w:pos="360"/>
          <w:tab w:val="left" w:pos="720"/>
        </w:tabs>
        <w:ind w:left="360"/>
        <w:rPr>
          <w:sz w:val="20"/>
          <w:szCs w:val="22"/>
          <w:lang w:val="fr-CA"/>
        </w:rPr>
      </w:pPr>
    </w:p>
    <w:p w:rsidR="00151580" w:rsidRPr="00910BF8" w:rsidRDefault="00151580" w:rsidP="00151580">
      <w:pPr>
        <w:numPr>
          <w:ilvl w:val="0"/>
          <w:numId w:val="15"/>
        </w:numPr>
        <w:tabs>
          <w:tab w:val="left" w:pos="720"/>
        </w:tabs>
        <w:rPr>
          <w:sz w:val="20"/>
          <w:szCs w:val="22"/>
          <w:lang w:val="fr-CA"/>
        </w:rPr>
      </w:pPr>
      <w:r w:rsidRPr="00910BF8">
        <w:rPr>
          <w:b/>
          <w:bCs/>
          <w:sz w:val="20"/>
          <w:szCs w:val="22"/>
          <w:lang w:val="fr-CA"/>
        </w:rPr>
        <w:t>Future Initiatives/Initiatives à l’avenir:</w:t>
      </w:r>
    </w:p>
    <w:p w:rsidR="00977DFA" w:rsidRPr="00910BF8" w:rsidRDefault="00977DFA" w:rsidP="003D2F8D">
      <w:pPr>
        <w:numPr>
          <w:ilvl w:val="0"/>
          <w:numId w:val="16"/>
        </w:numPr>
        <w:tabs>
          <w:tab w:val="left" w:pos="720"/>
        </w:tabs>
        <w:rPr>
          <w:sz w:val="20"/>
          <w:szCs w:val="22"/>
          <w:lang w:val="fr-CA"/>
        </w:rPr>
      </w:pPr>
      <w:r w:rsidRPr="00910BF8">
        <w:rPr>
          <w:sz w:val="20"/>
          <w:szCs w:val="22"/>
          <w:lang w:val="fr-CA"/>
        </w:rPr>
        <w:t>Continue to</w:t>
      </w:r>
      <w:r w:rsidRPr="001E673F">
        <w:rPr>
          <w:sz w:val="20"/>
          <w:szCs w:val="22"/>
        </w:rPr>
        <w:t xml:space="preserve"> review</w:t>
      </w:r>
      <w:r w:rsidRPr="00910BF8">
        <w:rPr>
          <w:sz w:val="20"/>
          <w:szCs w:val="22"/>
          <w:lang w:val="fr-CA"/>
        </w:rPr>
        <w:t>,</w:t>
      </w:r>
      <w:r w:rsidRPr="001E673F">
        <w:rPr>
          <w:sz w:val="20"/>
          <w:szCs w:val="22"/>
        </w:rPr>
        <w:t xml:space="preserve"> develop</w:t>
      </w:r>
      <w:r w:rsidRPr="00910BF8">
        <w:rPr>
          <w:sz w:val="20"/>
          <w:szCs w:val="22"/>
          <w:lang w:val="fr-CA"/>
        </w:rPr>
        <w:t xml:space="preserve"> and</w:t>
      </w:r>
      <w:r w:rsidRPr="001E673F">
        <w:rPr>
          <w:sz w:val="20"/>
          <w:szCs w:val="22"/>
        </w:rPr>
        <w:t xml:space="preserve"> distribute</w:t>
      </w:r>
      <w:r w:rsidRPr="00910BF8">
        <w:rPr>
          <w:sz w:val="20"/>
          <w:szCs w:val="22"/>
          <w:lang w:val="fr-CA"/>
        </w:rPr>
        <w:t xml:space="preserve"> </w:t>
      </w:r>
      <w:r w:rsidRPr="00E312CD">
        <w:rPr>
          <w:sz w:val="20"/>
          <w:szCs w:val="22"/>
        </w:rPr>
        <w:t xml:space="preserve">educational materials </w:t>
      </w:r>
      <w:r w:rsidRPr="00910BF8">
        <w:rPr>
          <w:sz w:val="20"/>
          <w:szCs w:val="22"/>
          <w:lang w:val="fr-CA"/>
        </w:rPr>
        <w:t xml:space="preserve">in codes of practice, guides and </w:t>
      </w:r>
      <w:r w:rsidRPr="00E312CD">
        <w:rPr>
          <w:sz w:val="20"/>
          <w:szCs w:val="22"/>
        </w:rPr>
        <w:t>handbooks</w:t>
      </w:r>
      <w:r w:rsidRPr="00910BF8">
        <w:rPr>
          <w:sz w:val="20"/>
          <w:szCs w:val="22"/>
          <w:lang w:val="fr-CA"/>
        </w:rPr>
        <w:t xml:space="preserve">, and </w:t>
      </w:r>
      <w:r w:rsidRPr="00E312CD">
        <w:rPr>
          <w:sz w:val="20"/>
          <w:szCs w:val="22"/>
        </w:rPr>
        <w:t>toolbox</w:t>
      </w:r>
      <w:r w:rsidRPr="00910BF8">
        <w:rPr>
          <w:sz w:val="20"/>
          <w:szCs w:val="22"/>
          <w:lang w:val="fr-CA"/>
        </w:rPr>
        <w:t xml:space="preserve"> </w:t>
      </w:r>
      <w:r w:rsidR="001E673F">
        <w:rPr>
          <w:sz w:val="20"/>
          <w:szCs w:val="22"/>
        </w:rPr>
        <w:t>res</w:t>
      </w:r>
      <w:r w:rsidRPr="001E673F">
        <w:rPr>
          <w:sz w:val="20"/>
          <w:szCs w:val="22"/>
        </w:rPr>
        <w:t>ources</w:t>
      </w:r>
      <w:r w:rsidRPr="00910BF8">
        <w:rPr>
          <w:sz w:val="20"/>
          <w:szCs w:val="22"/>
          <w:lang w:val="fr-CA"/>
        </w:rPr>
        <w:t>.</w:t>
      </w:r>
    </w:p>
    <w:p w:rsidR="00C17EBB" w:rsidRPr="00910BF8" w:rsidRDefault="00833EC2" w:rsidP="003D2F8D">
      <w:pPr>
        <w:numPr>
          <w:ilvl w:val="0"/>
          <w:numId w:val="16"/>
        </w:numPr>
        <w:tabs>
          <w:tab w:val="left" w:pos="720"/>
        </w:tabs>
        <w:rPr>
          <w:sz w:val="20"/>
          <w:szCs w:val="22"/>
          <w:lang w:val="fr-CA"/>
        </w:rPr>
      </w:pPr>
      <w:r w:rsidRPr="00910BF8">
        <w:rPr>
          <w:sz w:val="20"/>
          <w:szCs w:val="22"/>
          <w:lang w:val="fr-CA"/>
        </w:rPr>
        <w:t xml:space="preserve">Safety </w:t>
      </w:r>
      <w:r w:rsidR="00F661F1" w:rsidRPr="00E312CD">
        <w:rPr>
          <w:sz w:val="20"/>
          <w:szCs w:val="22"/>
        </w:rPr>
        <w:t>a</w:t>
      </w:r>
      <w:r w:rsidRPr="00E312CD">
        <w:rPr>
          <w:sz w:val="20"/>
          <w:szCs w:val="22"/>
        </w:rPr>
        <w:t>wareness</w:t>
      </w:r>
      <w:r w:rsidRPr="00910BF8">
        <w:rPr>
          <w:sz w:val="20"/>
          <w:szCs w:val="22"/>
          <w:lang w:val="fr-CA"/>
        </w:rPr>
        <w:t xml:space="preserve"> and </w:t>
      </w:r>
      <w:r w:rsidR="00F661F1" w:rsidRPr="001E673F">
        <w:rPr>
          <w:sz w:val="20"/>
          <w:szCs w:val="22"/>
        </w:rPr>
        <w:t>e</w:t>
      </w:r>
      <w:r w:rsidRPr="001E673F">
        <w:rPr>
          <w:sz w:val="20"/>
          <w:szCs w:val="22"/>
        </w:rPr>
        <w:t>ducational</w:t>
      </w:r>
      <w:r w:rsidRPr="00910BF8">
        <w:rPr>
          <w:sz w:val="20"/>
          <w:szCs w:val="22"/>
          <w:lang w:val="fr-CA"/>
        </w:rPr>
        <w:t xml:space="preserve"> </w:t>
      </w:r>
      <w:r w:rsidR="00F661F1" w:rsidRPr="001E673F">
        <w:rPr>
          <w:sz w:val="20"/>
          <w:szCs w:val="22"/>
        </w:rPr>
        <w:t>m</w:t>
      </w:r>
      <w:r w:rsidRPr="001E673F">
        <w:rPr>
          <w:sz w:val="20"/>
          <w:szCs w:val="22"/>
        </w:rPr>
        <w:t>aterials</w:t>
      </w:r>
      <w:r w:rsidRPr="00910BF8">
        <w:rPr>
          <w:sz w:val="20"/>
          <w:szCs w:val="22"/>
          <w:lang w:val="fr-CA"/>
        </w:rPr>
        <w:t>:</w:t>
      </w:r>
      <w:r w:rsidRPr="00910BF8">
        <w:rPr>
          <w:sz w:val="20"/>
          <w:szCs w:val="22"/>
          <w:lang w:val="fr-CA"/>
        </w:rPr>
        <w:br/>
      </w:r>
      <w:r w:rsidR="00252479" w:rsidRPr="00910BF8">
        <w:rPr>
          <w:sz w:val="20"/>
          <w:szCs w:val="22"/>
          <w:lang w:val="fr-CA"/>
        </w:rPr>
        <w:t xml:space="preserve">Use </w:t>
      </w:r>
      <w:proofErr w:type="spellStart"/>
      <w:r w:rsidR="002416CC" w:rsidRPr="00910BF8">
        <w:rPr>
          <w:sz w:val="20"/>
          <w:szCs w:val="22"/>
          <w:lang w:val="fr-CA"/>
        </w:rPr>
        <w:t>WSCC’s</w:t>
      </w:r>
      <w:proofErr w:type="spellEnd"/>
      <w:r w:rsidR="002416CC" w:rsidRPr="00910BF8">
        <w:rPr>
          <w:sz w:val="20"/>
          <w:szCs w:val="22"/>
          <w:lang w:val="fr-CA"/>
        </w:rPr>
        <w:t xml:space="preserve"> </w:t>
      </w:r>
      <w:r w:rsidR="00151580" w:rsidRPr="00910BF8">
        <w:rPr>
          <w:i/>
          <w:sz w:val="20"/>
          <w:szCs w:val="22"/>
          <w:lang w:val="fr-CA"/>
        </w:rPr>
        <w:t xml:space="preserve">Go </w:t>
      </w:r>
      <w:r w:rsidR="00151580" w:rsidRPr="00910BF8">
        <w:rPr>
          <w:i/>
          <w:sz w:val="20"/>
          <w:szCs w:val="22"/>
          <w:lang w:val="en-US"/>
        </w:rPr>
        <w:t>Safe</w:t>
      </w:r>
      <w:r w:rsidR="009F6FA8" w:rsidRPr="00910BF8">
        <w:rPr>
          <w:sz w:val="20"/>
          <w:szCs w:val="22"/>
          <w:lang w:val="en-US"/>
        </w:rPr>
        <w:t xml:space="preserve"> </w:t>
      </w:r>
      <w:r w:rsidR="002416CC" w:rsidRPr="00910BF8">
        <w:rPr>
          <w:sz w:val="20"/>
          <w:szCs w:val="22"/>
          <w:lang w:val="en-US"/>
        </w:rPr>
        <w:t xml:space="preserve">brand </w:t>
      </w:r>
      <w:r w:rsidR="00252479" w:rsidRPr="00910BF8">
        <w:rPr>
          <w:sz w:val="20"/>
          <w:szCs w:val="22"/>
          <w:lang w:val="en-US"/>
        </w:rPr>
        <w:t xml:space="preserve">on new </w:t>
      </w:r>
      <w:r w:rsidR="009F6FA8" w:rsidRPr="00910BF8">
        <w:rPr>
          <w:sz w:val="20"/>
          <w:szCs w:val="22"/>
          <w:lang w:val="en-US"/>
        </w:rPr>
        <w:t>initiative</w:t>
      </w:r>
      <w:r w:rsidR="00252479" w:rsidRPr="00910BF8">
        <w:rPr>
          <w:sz w:val="20"/>
          <w:szCs w:val="22"/>
          <w:lang w:val="en-US"/>
        </w:rPr>
        <w:t>s</w:t>
      </w:r>
      <w:r w:rsidR="009F6FA8" w:rsidRPr="00910BF8">
        <w:rPr>
          <w:sz w:val="20"/>
          <w:szCs w:val="22"/>
          <w:lang w:val="en-US"/>
        </w:rPr>
        <w:t xml:space="preserve"> to maximize stakeholder buy-in.</w:t>
      </w:r>
      <w:r w:rsidR="00252479" w:rsidRPr="00910BF8">
        <w:rPr>
          <w:sz w:val="20"/>
          <w:szCs w:val="22"/>
          <w:lang w:val="en-US"/>
        </w:rPr>
        <w:t xml:space="preserve"> Research revealed </w:t>
      </w:r>
      <w:r w:rsidRPr="00910BF8">
        <w:rPr>
          <w:sz w:val="20"/>
          <w:szCs w:val="22"/>
          <w:lang w:val="en-US"/>
        </w:rPr>
        <w:t xml:space="preserve">strong </w:t>
      </w:r>
      <w:r w:rsidR="00252479" w:rsidRPr="00910BF8">
        <w:rPr>
          <w:sz w:val="20"/>
          <w:szCs w:val="22"/>
          <w:lang w:val="en-US"/>
        </w:rPr>
        <w:t>brand recognition and trust</w:t>
      </w:r>
    </w:p>
    <w:p w:rsidR="00833EC2" w:rsidRPr="00910BF8" w:rsidRDefault="00252479" w:rsidP="003D2F8D">
      <w:pPr>
        <w:numPr>
          <w:ilvl w:val="0"/>
          <w:numId w:val="16"/>
        </w:numPr>
        <w:tabs>
          <w:tab w:val="left" w:pos="720"/>
        </w:tabs>
        <w:rPr>
          <w:sz w:val="20"/>
          <w:szCs w:val="22"/>
          <w:lang w:val="fr-CA"/>
        </w:rPr>
      </w:pPr>
      <w:r w:rsidRPr="00910BF8">
        <w:rPr>
          <w:sz w:val="20"/>
          <w:szCs w:val="22"/>
          <w:lang w:val="en-US"/>
        </w:rPr>
        <w:t>Develop and implement processes and procedures for the proposed Occupational Health and Safety Regulations</w:t>
      </w:r>
      <w:r w:rsidR="00833EC2" w:rsidRPr="00910BF8">
        <w:rPr>
          <w:sz w:val="20"/>
          <w:szCs w:val="22"/>
          <w:lang w:val="en-US"/>
        </w:rPr>
        <w:t>, focus on</w:t>
      </w:r>
      <w:r w:rsidRPr="00910BF8">
        <w:rPr>
          <w:sz w:val="20"/>
          <w:szCs w:val="22"/>
          <w:lang w:val="en-US"/>
        </w:rPr>
        <w:t xml:space="preserve"> reporting requirements and</w:t>
      </w:r>
      <w:r w:rsidR="00833EC2" w:rsidRPr="00910BF8">
        <w:rPr>
          <w:sz w:val="20"/>
          <w:szCs w:val="22"/>
          <w:lang w:val="en-US"/>
        </w:rPr>
        <w:t xml:space="preserve"> approval processes.</w:t>
      </w:r>
    </w:p>
    <w:p w:rsidR="006E0DDC" w:rsidRPr="00910BF8" w:rsidRDefault="006E0DDC" w:rsidP="003D2F8D">
      <w:pPr>
        <w:numPr>
          <w:ilvl w:val="0"/>
          <w:numId w:val="16"/>
        </w:numPr>
        <w:tabs>
          <w:tab w:val="left" w:pos="720"/>
        </w:tabs>
        <w:rPr>
          <w:sz w:val="20"/>
          <w:szCs w:val="22"/>
          <w:lang w:val="fr-CA"/>
        </w:rPr>
      </w:pPr>
      <w:r w:rsidRPr="00910BF8">
        <w:rPr>
          <w:sz w:val="20"/>
          <w:szCs w:val="22"/>
          <w:lang w:val="en-US"/>
        </w:rPr>
        <w:t>Develop e-business models to facilitate reporting and data management.</w:t>
      </w:r>
    </w:p>
    <w:p w:rsidR="00252479" w:rsidRPr="00910BF8" w:rsidRDefault="00833EC2" w:rsidP="003D2F8D">
      <w:pPr>
        <w:numPr>
          <w:ilvl w:val="0"/>
          <w:numId w:val="16"/>
        </w:numPr>
        <w:tabs>
          <w:tab w:val="left" w:pos="720"/>
        </w:tabs>
        <w:rPr>
          <w:sz w:val="20"/>
          <w:szCs w:val="22"/>
          <w:lang w:val="fr-CA"/>
        </w:rPr>
      </w:pPr>
      <w:r w:rsidRPr="00910BF8">
        <w:rPr>
          <w:sz w:val="20"/>
          <w:szCs w:val="22"/>
          <w:lang w:val="en-US"/>
        </w:rPr>
        <w:t xml:space="preserve">OHS Regulations introduction Town Hall circuit. Visit major </w:t>
      </w:r>
      <w:r w:rsidRPr="00E312CD">
        <w:rPr>
          <w:sz w:val="20"/>
          <w:szCs w:val="22"/>
        </w:rPr>
        <w:t>centres</w:t>
      </w:r>
      <w:r w:rsidRPr="00910BF8">
        <w:rPr>
          <w:sz w:val="20"/>
          <w:szCs w:val="22"/>
          <w:lang w:val="en-US"/>
        </w:rPr>
        <w:t xml:space="preserve"> in the Northwest Territories in May and in Nunavut in the fall (to coincide with</w:t>
      </w:r>
      <w:r w:rsidR="006D6E75" w:rsidRPr="00910BF8">
        <w:rPr>
          <w:sz w:val="20"/>
          <w:szCs w:val="22"/>
          <w:lang w:val="en-US"/>
        </w:rPr>
        <w:t xml:space="preserve"> regulation</w:t>
      </w:r>
      <w:r w:rsidRPr="00910BF8">
        <w:rPr>
          <w:sz w:val="20"/>
          <w:szCs w:val="22"/>
          <w:lang w:val="en-US"/>
        </w:rPr>
        <w:t xml:space="preserve"> “in force” dates for each territory.)</w:t>
      </w:r>
      <w:r w:rsidR="00252479" w:rsidRPr="00910BF8">
        <w:rPr>
          <w:sz w:val="20"/>
          <w:szCs w:val="22"/>
          <w:lang w:val="en-US"/>
        </w:rPr>
        <w:t xml:space="preserve"> </w:t>
      </w:r>
    </w:p>
    <w:sectPr w:rsidR="00252479" w:rsidRPr="00910BF8">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1B69" w:rsidRDefault="00EF1B69" w:rsidP="00151580">
      <w:r>
        <w:separator/>
      </w:r>
    </w:p>
  </w:endnote>
  <w:endnote w:type="continuationSeparator" w:id="0">
    <w:p w:rsidR="00EF1B69" w:rsidRDefault="00EF1B69" w:rsidP="00151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eiryo">
    <w:panose1 w:val="020B0604030504040204"/>
    <w:charset w:val="80"/>
    <w:family w:val="swiss"/>
    <w:pitch w:val="variable"/>
    <w:sig w:usb0="E10102FF" w:usb1="EAC7FFFF" w:usb2="0001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MyriadPro-Regular">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1B69" w:rsidRDefault="00EF1B69" w:rsidP="00151580">
      <w:r>
        <w:separator/>
      </w:r>
    </w:p>
  </w:footnote>
  <w:footnote w:type="continuationSeparator" w:id="0">
    <w:p w:rsidR="00EF1B69" w:rsidRDefault="00EF1B69" w:rsidP="001515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0" w:rsidRDefault="00151580">
    <w:pPr>
      <w:pStyle w:val="Header"/>
    </w:pPr>
    <w:r>
      <w:rPr>
        <w:noProof/>
        <w:lang w:eastAsia="en-CA"/>
      </w:rPr>
      <w:drawing>
        <wp:inline distT="0" distB="0" distL="0" distR="0">
          <wp:extent cx="5943600" cy="3105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SCC Logo - Code 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43600" cy="31051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37840D6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pPr>
        <w:ind w:left="0" w:firstLine="0"/>
      </w:pPr>
    </w:lvl>
  </w:abstractNum>
  <w:abstractNum w:abstractNumId="2" w15:restartNumberingAfterBreak="0">
    <w:nsid w:val="0E6624B3"/>
    <w:multiLevelType w:val="hybridMultilevel"/>
    <w:tmpl w:val="5C3619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127443A"/>
    <w:multiLevelType w:val="hybridMultilevel"/>
    <w:tmpl w:val="2B86398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 w15:restartNumberingAfterBreak="0">
    <w:nsid w:val="158A7EDC"/>
    <w:multiLevelType w:val="hybridMultilevel"/>
    <w:tmpl w:val="049632D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68E7BCF"/>
    <w:multiLevelType w:val="hybridMultilevel"/>
    <w:tmpl w:val="E416CE86"/>
    <w:lvl w:ilvl="0" w:tplc="97B0D83A">
      <w:start w:val="1"/>
      <w:numFmt w:val="decimal"/>
      <w:lvlText w:val="%1."/>
      <w:lvlJc w:val="left"/>
      <w:pPr>
        <w:ind w:left="360" w:hanging="360"/>
      </w:pPr>
      <w:rPr>
        <w:b/>
        <w:sz w:val="22"/>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15:restartNumberingAfterBreak="0">
    <w:nsid w:val="1D2C4E92"/>
    <w:multiLevelType w:val="hybridMultilevel"/>
    <w:tmpl w:val="E488D092"/>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BD1FD6"/>
    <w:multiLevelType w:val="hybridMultilevel"/>
    <w:tmpl w:val="8D42A266"/>
    <w:lvl w:ilvl="0" w:tplc="87DA26A2">
      <w:start w:val="1"/>
      <w:numFmt w:val="decimal"/>
      <w:pStyle w:val="Numbering"/>
      <w:lvlText w:val="%1."/>
      <w:lvlJc w:val="left"/>
      <w:pPr>
        <w:ind w:left="720" w:hanging="360"/>
      </w:pPr>
      <w:rPr>
        <w:rFonts w:cs="Times New Roman" w:hint="default"/>
        <w:b w:val="0"/>
      </w:rPr>
    </w:lvl>
    <w:lvl w:ilvl="1" w:tplc="10090003">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4B41982"/>
    <w:multiLevelType w:val="hybridMultilevel"/>
    <w:tmpl w:val="7FB6F1F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BDC2548"/>
    <w:multiLevelType w:val="singleLevel"/>
    <w:tmpl w:val="D0504266"/>
    <w:lvl w:ilvl="0">
      <w:start w:val="1"/>
      <w:numFmt w:val="decimal"/>
      <w:lvlText w:val="%1."/>
      <w:legacy w:legacy="1" w:legacySpace="0" w:legacyIndent="360"/>
      <w:lvlJc w:val="left"/>
      <w:pPr>
        <w:ind w:left="360" w:hanging="360"/>
      </w:pPr>
      <w:rPr>
        <w:b/>
        <w:i w:val="0"/>
      </w:rPr>
    </w:lvl>
  </w:abstractNum>
  <w:abstractNum w:abstractNumId="10" w15:restartNumberingAfterBreak="0">
    <w:nsid w:val="5657034E"/>
    <w:multiLevelType w:val="hybridMultilevel"/>
    <w:tmpl w:val="07FC8B20"/>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1" w15:restartNumberingAfterBreak="0">
    <w:nsid w:val="59072CBF"/>
    <w:multiLevelType w:val="hybridMultilevel"/>
    <w:tmpl w:val="C5EEF8F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4EF6A8B"/>
    <w:multiLevelType w:val="singleLevel"/>
    <w:tmpl w:val="4FF0353C"/>
    <w:lvl w:ilvl="0">
      <w:start w:val="9"/>
      <w:numFmt w:val="decimal"/>
      <w:lvlText w:val="%1."/>
      <w:lvlJc w:val="left"/>
      <w:pPr>
        <w:tabs>
          <w:tab w:val="num" w:pos="360"/>
        </w:tabs>
        <w:ind w:left="360" w:hanging="360"/>
      </w:pPr>
      <w:rPr>
        <w:b/>
        <w:i w:val="0"/>
      </w:rPr>
    </w:lvl>
  </w:abstractNum>
  <w:abstractNum w:abstractNumId="13" w15:restartNumberingAfterBreak="0">
    <w:nsid w:val="75201E7B"/>
    <w:multiLevelType w:val="hybridMultilevel"/>
    <w:tmpl w:val="18E8CDB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4" w15:restartNumberingAfterBreak="0">
    <w:nsid w:val="7CE76FB4"/>
    <w:multiLevelType w:val="hybridMultilevel"/>
    <w:tmpl w:val="25347E0E"/>
    <w:lvl w:ilvl="0" w:tplc="540E0DA2">
      <w:start w:val="8"/>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num w:numId="1">
    <w:abstractNumId w:val="7"/>
    <w:lvlOverride w:ilvl="0">
      <w:startOverride w:val="2"/>
    </w:lvlOverride>
  </w:num>
  <w:num w:numId="2">
    <w:abstractNumId w:val="7"/>
    <w:lvlOverride w:ilvl="0">
      <w:startOverride w:val="2"/>
    </w:lvlOverride>
  </w:num>
  <w:num w:numId="3">
    <w:abstractNumId w:val="9"/>
    <w:lvlOverride w:ilvl="0">
      <w:startOverride w:val="1"/>
    </w:lvlOverride>
  </w:num>
  <w:num w:numId="4">
    <w:abstractNumId w:val="9"/>
    <w:lvlOverride w:ilvl="0">
      <w:lvl w:ilvl="0">
        <w:start w:val="1"/>
        <w:numFmt w:val="decimal"/>
        <w:lvlText w:val="%1."/>
        <w:legacy w:legacy="1" w:legacySpace="0" w:legacyIndent="360"/>
        <w:lvlJc w:val="left"/>
        <w:pPr>
          <w:ind w:left="360" w:hanging="360"/>
        </w:pPr>
        <w:rPr>
          <w:b/>
          <w:i w:val="0"/>
        </w:rPr>
      </w:lvl>
    </w:lvlOverride>
  </w:num>
  <w:num w:numId="5">
    <w:abstractNumId w:val="9"/>
    <w:lvlOverride w:ilvl="0">
      <w:lvl w:ilvl="0">
        <w:start w:val="1"/>
        <w:numFmt w:val="decimal"/>
        <w:lvlText w:val="%1."/>
        <w:legacy w:legacy="1" w:legacySpace="0" w:legacyIndent="360"/>
        <w:lvlJc w:val="left"/>
        <w:pPr>
          <w:ind w:left="360" w:hanging="360"/>
        </w:pPr>
        <w:rPr>
          <w:b/>
          <w:i w:val="0"/>
        </w:rPr>
      </w:lvl>
    </w:lvlOverride>
  </w:num>
  <w:num w:numId="6">
    <w:abstractNumId w:val="13"/>
  </w:num>
  <w:num w:numId="7">
    <w:abstractNumId w:val="9"/>
    <w:lvlOverride w:ilvl="0">
      <w:lvl w:ilvl="0">
        <w:start w:val="1"/>
        <w:numFmt w:val="decimal"/>
        <w:lvlText w:val="%1."/>
        <w:legacy w:legacy="1" w:legacySpace="0" w:legacyIndent="360"/>
        <w:lvlJc w:val="left"/>
        <w:pPr>
          <w:ind w:left="360" w:hanging="360"/>
        </w:pPr>
        <w:rPr>
          <w:b/>
          <w:i w:val="0"/>
        </w:rPr>
      </w:lvl>
    </w:lvlOverride>
  </w:num>
  <w:num w:numId="8">
    <w:abstractNumId w:val="6"/>
  </w:num>
  <w:num w:numId="9">
    <w:abstractNumId w:val="9"/>
    <w:lvlOverride w:ilvl="0">
      <w:lvl w:ilvl="0">
        <w:start w:val="1"/>
        <w:numFmt w:val="decimal"/>
        <w:lvlText w:val="%1."/>
        <w:legacy w:legacy="1" w:legacySpace="0" w:legacyIndent="360"/>
        <w:lvlJc w:val="left"/>
        <w:pPr>
          <w:ind w:left="360" w:hanging="360"/>
        </w:pPr>
        <w:rPr>
          <w:b/>
          <w:i w:val="0"/>
        </w:rPr>
      </w:lvl>
    </w:lvlOverride>
  </w:num>
  <w:num w:numId="10">
    <w:abstractNumId w:val="9"/>
    <w:lvlOverride w:ilvl="0">
      <w:lvl w:ilvl="0">
        <w:start w:val="1"/>
        <w:numFmt w:val="decimal"/>
        <w:lvlText w:val="%1."/>
        <w:legacy w:legacy="1" w:legacySpace="0" w:legacyIndent="360"/>
        <w:lvlJc w:val="left"/>
        <w:pPr>
          <w:ind w:left="360" w:hanging="360"/>
        </w:pPr>
        <w:rPr>
          <w:b/>
          <w:i w:val="0"/>
        </w:rPr>
      </w:lvl>
    </w:lvlOverride>
  </w:num>
  <w:num w:numId="11">
    <w:abstractNumId w:val="1"/>
    <w:lvlOverride w:ilvl="0">
      <w:lvl w:ilvl="0">
        <w:numFmt w:val="bullet"/>
        <w:lvlText w:val=""/>
        <w:legacy w:legacy="1" w:legacySpace="0" w:legacyIndent="360"/>
        <w:lvlJc w:val="left"/>
        <w:pPr>
          <w:ind w:left="0" w:hanging="360"/>
        </w:pPr>
        <w:rPr>
          <w:rFonts w:ascii="Symbol" w:hAnsi="Symbol" w:cs="Times New Roman" w:hint="default"/>
        </w:rPr>
      </w:lvl>
    </w:lvlOverride>
  </w:num>
  <w:num w:numId="12">
    <w:abstractNumId w:val="9"/>
    <w:lvlOverride w:ilvl="0">
      <w:lvl w:ilvl="0">
        <w:start w:val="1"/>
        <w:numFmt w:val="decimal"/>
        <w:lvlText w:val="%1."/>
        <w:legacy w:legacy="1" w:legacySpace="0" w:legacyIndent="360"/>
        <w:lvlJc w:val="left"/>
        <w:pPr>
          <w:ind w:left="360" w:hanging="360"/>
        </w:pPr>
        <w:rPr>
          <w:b/>
          <w:i w:val="0"/>
        </w:rPr>
      </w:lvl>
    </w:lvlOverride>
  </w:num>
  <w:num w:numId="13">
    <w:abstractNumId w:val="14"/>
    <w:lvlOverride w:ilvl="0">
      <w:startOverride w:val="8"/>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12"/>
    <w:lvlOverride w:ilvl="0">
      <w:startOverride w:val="9"/>
    </w:lvlOverride>
  </w:num>
  <w:num w:numId="16">
    <w:abstractNumId w:val="3"/>
  </w:num>
  <w:num w:numId="17">
    <w:abstractNumId w:val="6"/>
  </w:num>
  <w:num w:numId="18">
    <w:abstractNumId w:val="10"/>
  </w:num>
  <w:num w:numId="19">
    <w:abstractNumId w:val="5"/>
  </w:num>
  <w:num w:numId="20">
    <w:abstractNumId w:val="8"/>
  </w:num>
  <w:num w:numId="21">
    <w:abstractNumId w:val="0"/>
  </w:num>
  <w:num w:numId="22">
    <w:abstractNumId w:val="4"/>
  </w:num>
  <w:num w:numId="23">
    <w:abstractNumId w:val="2"/>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580"/>
    <w:rsid w:val="00070702"/>
    <w:rsid w:val="00137437"/>
    <w:rsid w:val="00151580"/>
    <w:rsid w:val="001A2775"/>
    <w:rsid w:val="001E673F"/>
    <w:rsid w:val="002416CC"/>
    <w:rsid w:val="00252479"/>
    <w:rsid w:val="00262BAE"/>
    <w:rsid w:val="003843E3"/>
    <w:rsid w:val="003D2F8D"/>
    <w:rsid w:val="003E48BE"/>
    <w:rsid w:val="003F02F3"/>
    <w:rsid w:val="004A38B1"/>
    <w:rsid w:val="004A4005"/>
    <w:rsid w:val="005549B5"/>
    <w:rsid w:val="005D0E9E"/>
    <w:rsid w:val="006502A8"/>
    <w:rsid w:val="006D6E75"/>
    <w:rsid w:val="006E0DDC"/>
    <w:rsid w:val="00745575"/>
    <w:rsid w:val="007C6E04"/>
    <w:rsid w:val="00833EC2"/>
    <w:rsid w:val="00862A71"/>
    <w:rsid w:val="00910BF8"/>
    <w:rsid w:val="009362E5"/>
    <w:rsid w:val="00941529"/>
    <w:rsid w:val="00950A52"/>
    <w:rsid w:val="009620F3"/>
    <w:rsid w:val="00977DFA"/>
    <w:rsid w:val="009F6FA8"/>
    <w:rsid w:val="00A745CC"/>
    <w:rsid w:val="00AD7704"/>
    <w:rsid w:val="00B92B4A"/>
    <w:rsid w:val="00B940B2"/>
    <w:rsid w:val="00C17EBB"/>
    <w:rsid w:val="00C444B0"/>
    <w:rsid w:val="00C5340A"/>
    <w:rsid w:val="00C96BE1"/>
    <w:rsid w:val="00CD23DA"/>
    <w:rsid w:val="00D15B22"/>
    <w:rsid w:val="00D51630"/>
    <w:rsid w:val="00D522FA"/>
    <w:rsid w:val="00D7529D"/>
    <w:rsid w:val="00DA7ADD"/>
    <w:rsid w:val="00E2642F"/>
    <w:rsid w:val="00E312CD"/>
    <w:rsid w:val="00EA1F42"/>
    <w:rsid w:val="00EB7D32"/>
    <w:rsid w:val="00EF1B69"/>
    <w:rsid w:val="00F661F1"/>
    <w:rsid w:val="00F71E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531C08E-C2D5-41BD-9600-8EA79E553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1580"/>
    <w:pPr>
      <w:tabs>
        <w:tab w:val="left" w:pos="360"/>
      </w:tabs>
      <w:autoSpaceDE w:val="0"/>
      <w:autoSpaceDN w:val="0"/>
      <w:spacing w:after="0" w:line="240" w:lineRule="auto"/>
    </w:pPr>
    <w:rPr>
      <w:rFonts w:eastAsia="Times New Roman" w:cs="Arial"/>
      <w:szCs w:val="24"/>
      <w:lang w:val="en-CA"/>
    </w:rPr>
  </w:style>
  <w:style w:type="paragraph" w:styleId="Heading1">
    <w:name w:val="heading 1"/>
    <w:aliases w:val="Numbered Topic"/>
    <w:next w:val="Normal"/>
    <w:link w:val="Heading1Char"/>
    <w:uiPriority w:val="9"/>
    <w:qFormat/>
    <w:rsid w:val="00151580"/>
    <w:pPr>
      <w:keepNext/>
      <w:keepLines/>
      <w:spacing w:before="240"/>
      <w:outlineLvl w:val="0"/>
    </w:pPr>
    <w:rPr>
      <w:rFonts w:eastAsiaTheme="majorEastAsia" w:cstheme="majorBidi"/>
      <w:b/>
      <w:bCs/>
      <w:sz w:val="28"/>
      <w:szCs w:val="28"/>
      <w:lang w:val="en-GB"/>
    </w:rPr>
  </w:style>
  <w:style w:type="paragraph" w:styleId="Heading2">
    <w:name w:val="heading 2"/>
    <w:basedOn w:val="Normal"/>
    <w:next w:val="Normal"/>
    <w:link w:val="Heading2Char"/>
    <w:uiPriority w:val="9"/>
    <w:unhideWhenUsed/>
    <w:qFormat/>
    <w:rsid w:val="005D0E9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D51630"/>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Codeheading">
    <w:name w:val="1 Code heading"/>
    <w:basedOn w:val="Heading1"/>
    <w:next w:val="Heading1"/>
    <w:link w:val="1CodeheadingChar"/>
    <w:qFormat/>
    <w:rsid w:val="005D0E9E"/>
    <w:rPr>
      <w:rFonts w:ascii="Arial" w:hAnsi="Arial"/>
      <w:color w:val="17365D" w:themeColor="text2" w:themeShade="BF"/>
      <w:sz w:val="52"/>
    </w:rPr>
  </w:style>
  <w:style w:type="character" w:customStyle="1" w:styleId="1CodeheadingChar">
    <w:name w:val="1 Code heading Char"/>
    <w:basedOn w:val="Heading1Char"/>
    <w:link w:val="1Codeheading"/>
    <w:rsid w:val="005D0E9E"/>
    <w:rPr>
      <w:rFonts w:ascii="Arial" w:eastAsiaTheme="majorEastAsia" w:hAnsi="Arial" w:cstheme="majorBidi"/>
      <w:b/>
      <w:bCs/>
      <w:color w:val="17365D" w:themeColor="text2" w:themeShade="BF"/>
      <w:sz w:val="52"/>
      <w:szCs w:val="28"/>
      <w:lang w:val="en-GB"/>
    </w:rPr>
  </w:style>
  <w:style w:type="character" w:customStyle="1" w:styleId="Heading1Char">
    <w:name w:val="Heading 1 Char"/>
    <w:aliases w:val="Numbered Topic Char"/>
    <w:basedOn w:val="DefaultParagraphFont"/>
    <w:link w:val="Heading1"/>
    <w:uiPriority w:val="9"/>
    <w:rsid w:val="00151580"/>
    <w:rPr>
      <w:rFonts w:eastAsiaTheme="majorEastAsia" w:cstheme="majorBidi"/>
      <w:b/>
      <w:bCs/>
      <w:sz w:val="28"/>
      <w:szCs w:val="28"/>
      <w:lang w:val="en-GB"/>
    </w:rPr>
  </w:style>
  <w:style w:type="character" w:customStyle="1" w:styleId="Heading2Char">
    <w:name w:val="Heading 2 Char"/>
    <w:basedOn w:val="DefaultParagraphFont"/>
    <w:link w:val="Heading2"/>
    <w:uiPriority w:val="9"/>
    <w:rsid w:val="005D0E9E"/>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5D0E9E"/>
    <w:rPr>
      <w:b/>
      <w:bCs/>
    </w:rPr>
  </w:style>
  <w:style w:type="paragraph" w:styleId="ListParagraph">
    <w:name w:val="List Paragraph"/>
    <w:basedOn w:val="Normal"/>
    <w:uiPriority w:val="34"/>
    <w:qFormat/>
    <w:rsid w:val="005D0E9E"/>
    <w:pPr>
      <w:ind w:left="720"/>
      <w:contextualSpacing/>
    </w:pPr>
    <w:rPr>
      <w:rFonts w:cs="Times New Roman"/>
    </w:rPr>
  </w:style>
  <w:style w:type="paragraph" w:styleId="TOCHeading">
    <w:name w:val="TOC Heading"/>
    <w:basedOn w:val="Heading1"/>
    <w:next w:val="Normal"/>
    <w:uiPriority w:val="39"/>
    <w:semiHidden/>
    <w:unhideWhenUsed/>
    <w:qFormat/>
    <w:rsid w:val="005D0E9E"/>
    <w:pPr>
      <w:outlineLvl w:val="9"/>
    </w:pPr>
    <w:rPr>
      <w:lang w:eastAsia="ja-JP"/>
    </w:rPr>
  </w:style>
  <w:style w:type="paragraph" w:customStyle="1" w:styleId="Numbering">
    <w:name w:val="Numbering"/>
    <w:basedOn w:val="ListParagraph"/>
    <w:rsid w:val="00D51630"/>
    <w:pPr>
      <w:numPr>
        <w:numId w:val="2"/>
      </w:numPr>
    </w:pPr>
    <w:rPr>
      <w:rFonts w:ascii="Calibri" w:hAnsi="Calibri"/>
      <w:color w:val="4A442A"/>
    </w:rPr>
  </w:style>
  <w:style w:type="paragraph" w:customStyle="1" w:styleId="Bullets">
    <w:name w:val="Bullets"/>
    <w:basedOn w:val="ListParagraph"/>
    <w:link w:val="BulletsChar"/>
    <w:uiPriority w:val="99"/>
    <w:rsid w:val="00D51630"/>
    <w:pPr>
      <w:ind w:left="0"/>
    </w:pPr>
    <w:rPr>
      <w:rFonts w:ascii="Calibri" w:hAnsi="Calibri"/>
      <w:color w:val="4A442A"/>
    </w:rPr>
  </w:style>
  <w:style w:type="character" w:customStyle="1" w:styleId="BulletsChar">
    <w:name w:val="Bullets Char"/>
    <w:basedOn w:val="DefaultParagraphFont"/>
    <w:link w:val="Bullets"/>
    <w:uiPriority w:val="99"/>
    <w:locked/>
    <w:rsid w:val="00D51630"/>
    <w:rPr>
      <w:rFonts w:ascii="Calibri" w:eastAsia="Times New Roman" w:hAnsi="Calibri" w:cs="Times New Roman"/>
      <w:color w:val="4A442A"/>
      <w:sz w:val="24"/>
      <w:szCs w:val="24"/>
      <w:lang w:val="en-CA"/>
    </w:rPr>
  </w:style>
  <w:style w:type="character" w:customStyle="1" w:styleId="Heading4Char">
    <w:name w:val="Heading 4 Char"/>
    <w:basedOn w:val="DefaultParagraphFont"/>
    <w:link w:val="Heading4"/>
    <w:uiPriority w:val="9"/>
    <w:semiHidden/>
    <w:rsid w:val="00D51630"/>
    <w:rPr>
      <w:rFonts w:asciiTheme="majorHAnsi" w:eastAsiaTheme="majorEastAsia" w:hAnsiTheme="majorHAnsi" w:cstheme="majorBidi"/>
      <w:b/>
      <w:bCs/>
      <w:i/>
      <w:iCs/>
      <w:color w:val="4F81BD" w:themeColor="accent1"/>
      <w:sz w:val="24"/>
      <w:szCs w:val="24"/>
    </w:rPr>
  </w:style>
  <w:style w:type="paragraph" w:styleId="TOC1">
    <w:name w:val="toc 1"/>
    <w:basedOn w:val="Normal"/>
    <w:next w:val="Normal"/>
    <w:autoRedefine/>
    <w:uiPriority w:val="39"/>
    <w:unhideWhenUsed/>
    <w:rsid w:val="00D51630"/>
    <w:pPr>
      <w:spacing w:after="100"/>
    </w:pPr>
    <w:rPr>
      <w:rFonts w:cs="Times New Roman"/>
    </w:rPr>
  </w:style>
  <w:style w:type="paragraph" w:styleId="TOC2">
    <w:name w:val="toc 2"/>
    <w:basedOn w:val="Normal"/>
    <w:next w:val="Normal"/>
    <w:autoRedefine/>
    <w:uiPriority w:val="39"/>
    <w:unhideWhenUsed/>
    <w:rsid w:val="00D51630"/>
    <w:pPr>
      <w:spacing w:after="100"/>
      <w:ind w:left="240"/>
    </w:pPr>
    <w:rPr>
      <w:rFonts w:cs="Times New Roman"/>
    </w:rPr>
  </w:style>
  <w:style w:type="paragraph" w:styleId="TOC3">
    <w:name w:val="toc 3"/>
    <w:basedOn w:val="Normal"/>
    <w:next w:val="Normal"/>
    <w:autoRedefine/>
    <w:uiPriority w:val="39"/>
    <w:semiHidden/>
    <w:unhideWhenUsed/>
    <w:rsid w:val="00D51630"/>
    <w:pPr>
      <w:spacing w:after="100" w:line="276" w:lineRule="auto"/>
      <w:ind w:left="440"/>
    </w:pPr>
    <w:rPr>
      <w:rFonts w:eastAsiaTheme="minorEastAsia"/>
      <w:szCs w:val="22"/>
      <w:lang w:eastAsia="ja-JP"/>
    </w:rPr>
  </w:style>
  <w:style w:type="paragraph" w:customStyle="1" w:styleId="2CodeHeading">
    <w:name w:val="2 Code Heading"/>
    <w:basedOn w:val="Heading2"/>
    <w:next w:val="Heading2"/>
    <w:link w:val="2CodeHeadingChar"/>
    <w:qFormat/>
    <w:rsid w:val="005D0E9E"/>
    <w:rPr>
      <w:rFonts w:ascii="Meiryo" w:hAnsi="Meiryo"/>
      <w:b w:val="0"/>
      <w:color w:val="17365D" w:themeColor="text2" w:themeShade="BF"/>
      <w:sz w:val="28"/>
      <w:szCs w:val="16"/>
    </w:rPr>
  </w:style>
  <w:style w:type="character" w:customStyle="1" w:styleId="2CodeHeadingChar">
    <w:name w:val="2 Code Heading Char"/>
    <w:basedOn w:val="Heading2Char"/>
    <w:link w:val="2CodeHeading"/>
    <w:rsid w:val="005D0E9E"/>
    <w:rPr>
      <w:rFonts w:ascii="Meiryo" w:eastAsiaTheme="majorEastAsia" w:hAnsi="Meiryo" w:cstheme="majorBidi"/>
      <w:b w:val="0"/>
      <w:bCs/>
      <w:color w:val="17365D" w:themeColor="text2" w:themeShade="BF"/>
      <w:sz w:val="28"/>
      <w:szCs w:val="16"/>
    </w:rPr>
  </w:style>
  <w:style w:type="paragraph" w:styleId="NoSpacing">
    <w:name w:val="No Spacing"/>
    <w:uiPriority w:val="1"/>
    <w:qFormat/>
    <w:rsid w:val="005D0E9E"/>
    <w:pPr>
      <w:spacing w:after="0"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semiHidden/>
    <w:unhideWhenUsed/>
    <w:rsid w:val="00151580"/>
    <w:rPr>
      <w:szCs w:val="20"/>
    </w:rPr>
  </w:style>
  <w:style w:type="character" w:customStyle="1" w:styleId="FootnoteTextChar">
    <w:name w:val="Footnote Text Char"/>
    <w:basedOn w:val="DefaultParagraphFont"/>
    <w:link w:val="FootnoteText"/>
    <w:semiHidden/>
    <w:rsid w:val="00151580"/>
    <w:rPr>
      <w:rFonts w:ascii="Arial" w:eastAsia="Times New Roman" w:hAnsi="Arial" w:cs="Arial"/>
      <w:sz w:val="20"/>
      <w:szCs w:val="20"/>
      <w:lang w:val="en-GB"/>
    </w:rPr>
  </w:style>
  <w:style w:type="paragraph" w:styleId="Subtitle">
    <w:name w:val="Subtitle"/>
    <w:basedOn w:val="Normal"/>
    <w:next w:val="Normal"/>
    <w:link w:val="SubtitleChar"/>
    <w:uiPriority w:val="11"/>
    <w:qFormat/>
    <w:rsid w:val="00151580"/>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151580"/>
    <w:rPr>
      <w:rFonts w:asciiTheme="majorHAnsi" w:eastAsiaTheme="majorEastAsia" w:hAnsiTheme="majorHAnsi" w:cstheme="majorBidi"/>
      <w:i/>
      <w:iCs/>
      <w:color w:val="4F81BD" w:themeColor="accent1"/>
      <w:spacing w:val="15"/>
      <w:sz w:val="24"/>
      <w:szCs w:val="24"/>
      <w:lang w:val="en-GB"/>
    </w:rPr>
  </w:style>
  <w:style w:type="character" w:styleId="FootnoteReference">
    <w:name w:val="footnote reference"/>
    <w:semiHidden/>
    <w:unhideWhenUsed/>
    <w:rsid w:val="00151580"/>
    <w:rPr>
      <w:vertAlign w:val="superscript"/>
    </w:rPr>
  </w:style>
  <w:style w:type="table" w:styleId="TableGrid">
    <w:name w:val="Table Grid"/>
    <w:basedOn w:val="TableNormal"/>
    <w:uiPriority w:val="59"/>
    <w:rsid w:val="00151580"/>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51580"/>
    <w:pPr>
      <w:tabs>
        <w:tab w:val="center" w:pos="4680"/>
        <w:tab w:val="right" w:pos="9360"/>
      </w:tabs>
    </w:pPr>
  </w:style>
  <w:style w:type="character" w:customStyle="1" w:styleId="HeaderChar">
    <w:name w:val="Header Char"/>
    <w:basedOn w:val="DefaultParagraphFont"/>
    <w:link w:val="Header"/>
    <w:uiPriority w:val="99"/>
    <w:rsid w:val="00151580"/>
    <w:rPr>
      <w:rFonts w:ascii="Arial" w:eastAsia="Times New Roman" w:hAnsi="Arial" w:cs="Arial"/>
      <w:sz w:val="20"/>
      <w:szCs w:val="24"/>
      <w:lang w:val="en-GB"/>
    </w:rPr>
  </w:style>
  <w:style w:type="paragraph" w:styleId="Footer">
    <w:name w:val="footer"/>
    <w:basedOn w:val="Normal"/>
    <w:link w:val="FooterChar"/>
    <w:uiPriority w:val="99"/>
    <w:unhideWhenUsed/>
    <w:rsid w:val="00151580"/>
    <w:pPr>
      <w:tabs>
        <w:tab w:val="center" w:pos="4680"/>
        <w:tab w:val="right" w:pos="9360"/>
      </w:tabs>
    </w:pPr>
  </w:style>
  <w:style w:type="character" w:customStyle="1" w:styleId="FooterChar">
    <w:name w:val="Footer Char"/>
    <w:basedOn w:val="DefaultParagraphFont"/>
    <w:link w:val="Footer"/>
    <w:uiPriority w:val="99"/>
    <w:rsid w:val="00151580"/>
    <w:rPr>
      <w:rFonts w:ascii="Arial" w:eastAsia="Times New Roman" w:hAnsi="Arial" w:cs="Arial"/>
      <w:sz w:val="20"/>
      <w:szCs w:val="24"/>
      <w:lang w:val="en-GB"/>
    </w:rPr>
  </w:style>
  <w:style w:type="paragraph" w:styleId="BalloonText">
    <w:name w:val="Balloon Text"/>
    <w:basedOn w:val="Normal"/>
    <w:link w:val="BalloonTextChar"/>
    <w:uiPriority w:val="99"/>
    <w:semiHidden/>
    <w:unhideWhenUsed/>
    <w:rsid w:val="00151580"/>
    <w:rPr>
      <w:rFonts w:ascii="Tahoma" w:hAnsi="Tahoma" w:cs="Tahoma"/>
      <w:sz w:val="16"/>
      <w:szCs w:val="16"/>
    </w:rPr>
  </w:style>
  <w:style w:type="character" w:customStyle="1" w:styleId="BalloonTextChar">
    <w:name w:val="Balloon Text Char"/>
    <w:basedOn w:val="DefaultParagraphFont"/>
    <w:link w:val="BalloonText"/>
    <w:uiPriority w:val="99"/>
    <w:semiHidden/>
    <w:rsid w:val="00151580"/>
    <w:rPr>
      <w:rFonts w:ascii="Tahoma" w:eastAsia="Times New Roman" w:hAnsi="Tahoma" w:cs="Tahoma"/>
      <w:sz w:val="16"/>
      <w:szCs w:val="16"/>
      <w:lang w:val="en-GB"/>
    </w:rPr>
  </w:style>
  <w:style w:type="paragraph" w:styleId="ListBullet">
    <w:name w:val="List Bullet"/>
    <w:basedOn w:val="Normal"/>
    <w:uiPriority w:val="99"/>
    <w:unhideWhenUsed/>
    <w:rsid w:val="00EB7D32"/>
    <w:pPr>
      <w:numPr>
        <w:numId w:val="2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6697451">
      <w:bodyDiv w:val="1"/>
      <w:marLeft w:val="0"/>
      <w:marRight w:val="0"/>
      <w:marTop w:val="0"/>
      <w:marBottom w:val="0"/>
      <w:divBdr>
        <w:top w:val="none" w:sz="0" w:space="0" w:color="auto"/>
        <w:left w:val="none" w:sz="0" w:space="0" w:color="auto"/>
        <w:bottom w:val="none" w:sz="0" w:space="0" w:color="auto"/>
        <w:right w:val="none" w:sz="0" w:space="0" w:color="auto"/>
      </w:divBdr>
    </w:div>
    <w:div w:id="889732483">
      <w:bodyDiv w:val="1"/>
      <w:marLeft w:val="0"/>
      <w:marRight w:val="0"/>
      <w:marTop w:val="0"/>
      <w:marBottom w:val="0"/>
      <w:divBdr>
        <w:top w:val="none" w:sz="0" w:space="0" w:color="auto"/>
        <w:left w:val="none" w:sz="0" w:space="0" w:color="auto"/>
        <w:bottom w:val="none" w:sz="0" w:space="0" w:color="auto"/>
        <w:right w:val="none" w:sz="0" w:space="0" w:color="auto"/>
      </w:divBdr>
    </w:div>
    <w:div w:id="1293488263">
      <w:bodyDiv w:val="1"/>
      <w:marLeft w:val="0"/>
      <w:marRight w:val="0"/>
      <w:marTop w:val="0"/>
      <w:marBottom w:val="0"/>
      <w:divBdr>
        <w:top w:val="none" w:sz="0" w:space="0" w:color="auto"/>
        <w:left w:val="none" w:sz="0" w:space="0" w:color="auto"/>
        <w:bottom w:val="none" w:sz="0" w:space="0" w:color="auto"/>
        <w:right w:val="none" w:sz="0" w:space="0" w:color="auto"/>
      </w:divBdr>
    </w:div>
    <w:div w:id="2030600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108D00-5D07-454E-9827-237CF45F2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1304</Words>
  <Characters>7434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WSCC</Company>
  <LinksUpToDate>false</LinksUpToDate>
  <CharactersWithSpaces>8721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Meta Antolin</dc:creator>
  <cp:lastModifiedBy>Michelle Beavington</cp:lastModifiedBy>
  <cp:revision>2</cp:revision>
  <dcterms:created xsi:type="dcterms:W3CDTF">2015-06-05T16:18:00Z</dcterms:created>
  <dcterms:modified xsi:type="dcterms:W3CDTF">2015-06-05T16:18:00Z</dcterms:modified>
</cp:coreProperties>
</file>